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06B7" w14:textId="77777777" w:rsidR="00A47819" w:rsidRDefault="00A47819" w:rsidP="00A47819">
      <w:pPr>
        <w:ind w:left="720" w:firstLine="720"/>
        <w:rPr>
          <w:rFonts w:ascii="Tahoma" w:hAnsi="Tahoma" w:cs="Tahoma"/>
          <w:b/>
          <w:sz w:val="40"/>
          <w:szCs w:val="40"/>
          <w:lang w:val="en-GB"/>
        </w:rPr>
      </w:pPr>
    </w:p>
    <w:p w14:paraId="581854EC" w14:textId="77777777" w:rsidR="00A47819" w:rsidRDefault="00A47819" w:rsidP="00A47819">
      <w:pPr>
        <w:ind w:left="720" w:firstLine="720"/>
        <w:rPr>
          <w:rFonts w:ascii="Tahoma" w:hAnsi="Tahoma" w:cs="Tahoma"/>
          <w:sz w:val="40"/>
          <w:szCs w:val="40"/>
          <w:lang w:val="en-GB"/>
        </w:rPr>
      </w:pPr>
    </w:p>
    <w:p w14:paraId="387ED5A6" w14:textId="77777777" w:rsidR="00A47819" w:rsidRDefault="00A47819" w:rsidP="00A47819">
      <w:pPr>
        <w:ind w:left="720" w:firstLine="720"/>
        <w:rPr>
          <w:rFonts w:ascii="Tahoma" w:hAnsi="Tahoma" w:cs="Tahoma"/>
          <w:sz w:val="40"/>
          <w:szCs w:val="40"/>
          <w:lang w:val="en-GB"/>
        </w:rPr>
      </w:pPr>
    </w:p>
    <w:p w14:paraId="74D71B11" w14:textId="77777777" w:rsidR="00A47819" w:rsidRDefault="00A47819" w:rsidP="00A47819">
      <w:pPr>
        <w:ind w:left="720" w:firstLine="720"/>
        <w:rPr>
          <w:rFonts w:ascii="Tahoma" w:hAnsi="Tahoma" w:cs="Tahoma"/>
          <w:sz w:val="40"/>
          <w:szCs w:val="40"/>
          <w:lang w:val="en-GB"/>
        </w:rPr>
      </w:pPr>
    </w:p>
    <w:p w14:paraId="7B364C3D" w14:textId="77777777" w:rsidR="00A47819" w:rsidRPr="00A47819" w:rsidRDefault="00A47819" w:rsidP="00A47819">
      <w:pPr>
        <w:ind w:left="720" w:firstLine="720"/>
        <w:rPr>
          <w:rFonts w:ascii="Tahoma" w:hAnsi="Tahoma" w:cs="Tahoma"/>
          <w:sz w:val="40"/>
          <w:szCs w:val="40"/>
          <w:lang w:val="en-GB"/>
        </w:rPr>
      </w:pPr>
    </w:p>
    <w:p w14:paraId="6D17C41B" w14:textId="77777777" w:rsidR="00A47819" w:rsidRDefault="00A47819" w:rsidP="00A47819">
      <w:pPr>
        <w:ind w:left="720" w:firstLine="720"/>
        <w:rPr>
          <w:rFonts w:ascii="Tahoma" w:hAnsi="Tahoma" w:cs="Tahoma"/>
          <w:b/>
          <w:sz w:val="40"/>
          <w:szCs w:val="40"/>
          <w:lang w:val="en-GB"/>
        </w:rPr>
      </w:pPr>
    </w:p>
    <w:p w14:paraId="43CB3B11" w14:textId="77777777" w:rsidR="00A47819" w:rsidRDefault="00A47819" w:rsidP="00A47819">
      <w:pPr>
        <w:ind w:left="720" w:firstLine="720"/>
        <w:rPr>
          <w:rFonts w:ascii="Tahoma" w:hAnsi="Tahoma" w:cs="Tahoma"/>
          <w:b/>
          <w:sz w:val="40"/>
          <w:szCs w:val="40"/>
          <w:lang w:val="en-GB"/>
        </w:rPr>
      </w:pPr>
    </w:p>
    <w:p w14:paraId="66A5CD5F" w14:textId="77777777" w:rsidR="00A47819" w:rsidRPr="00E63DD5" w:rsidRDefault="00A47819" w:rsidP="00A47819">
      <w:pPr>
        <w:ind w:left="720" w:firstLine="720"/>
        <w:rPr>
          <w:rFonts w:ascii="Source Sans Pro" w:hAnsi="Source Sans Pro" w:cs="Tahoma"/>
          <w:b/>
          <w:sz w:val="24"/>
          <w:szCs w:val="24"/>
          <w:lang w:val="en-GB"/>
        </w:rPr>
      </w:pPr>
    </w:p>
    <w:p w14:paraId="01C49952" w14:textId="77777777" w:rsidR="008A5716" w:rsidRPr="00E63DD5" w:rsidRDefault="00A47819" w:rsidP="004E2566">
      <w:pPr>
        <w:jc w:val="center"/>
        <w:rPr>
          <w:rFonts w:ascii="Source Sans Pro" w:hAnsi="Source Sans Pro" w:cs="Tahoma"/>
          <w:b/>
          <w:sz w:val="24"/>
          <w:szCs w:val="24"/>
          <w:lang w:val="en-GB"/>
        </w:rPr>
      </w:pPr>
      <w:r w:rsidRPr="00E63DD5">
        <w:rPr>
          <w:rFonts w:ascii="Source Sans Pro" w:hAnsi="Source Sans Pro" w:cs="Tahoma"/>
          <w:b/>
          <w:sz w:val="24"/>
          <w:szCs w:val="24"/>
          <w:lang w:val="en-GB"/>
        </w:rPr>
        <w:t>LEITRIM COUNTY COUNCIL</w:t>
      </w:r>
    </w:p>
    <w:p w14:paraId="6E3A902A" w14:textId="77777777" w:rsidR="00A47819" w:rsidRPr="00E63DD5" w:rsidRDefault="00A47819" w:rsidP="0023177B">
      <w:pPr>
        <w:jc w:val="left"/>
        <w:rPr>
          <w:rFonts w:ascii="Source Sans Pro" w:hAnsi="Source Sans Pro" w:cs="Tahoma"/>
          <w:b/>
          <w:sz w:val="24"/>
          <w:szCs w:val="24"/>
          <w:lang w:val="en-GB"/>
        </w:rPr>
      </w:pPr>
    </w:p>
    <w:p w14:paraId="57B98FFF" w14:textId="77777777" w:rsidR="00826F7D" w:rsidRPr="00E63DD5" w:rsidRDefault="00461549" w:rsidP="00902DF3">
      <w:pPr>
        <w:jc w:val="center"/>
        <w:rPr>
          <w:rFonts w:ascii="Source Sans Pro" w:hAnsi="Source Sans Pro" w:cs="Tahoma"/>
          <w:b/>
          <w:sz w:val="24"/>
          <w:szCs w:val="24"/>
          <w:lang w:val="en-GB"/>
        </w:rPr>
      </w:pPr>
      <w:r w:rsidRPr="00E63DD5">
        <w:rPr>
          <w:rFonts w:ascii="Source Sans Pro" w:hAnsi="Source Sans Pro" w:cs="Tahoma"/>
          <w:b/>
          <w:sz w:val="24"/>
          <w:szCs w:val="24"/>
          <w:lang w:val="en-GB"/>
        </w:rPr>
        <w:t>ALLOCATION SCHEME</w:t>
      </w:r>
    </w:p>
    <w:p w14:paraId="04D61A68" w14:textId="77777777" w:rsidR="00826F7D" w:rsidRPr="00E63DD5" w:rsidRDefault="00826F7D" w:rsidP="00A47819">
      <w:pPr>
        <w:jc w:val="left"/>
        <w:rPr>
          <w:rFonts w:ascii="Source Sans Pro" w:hAnsi="Source Sans Pro" w:cs="Tahoma"/>
          <w:b/>
          <w:sz w:val="24"/>
          <w:szCs w:val="24"/>
          <w:lang w:val="en-GB"/>
        </w:rPr>
      </w:pPr>
    </w:p>
    <w:p w14:paraId="24BFC96C" w14:textId="77777777" w:rsidR="00A47819" w:rsidRPr="00E63DD5" w:rsidRDefault="00A47819">
      <w:pPr>
        <w:rPr>
          <w:rFonts w:ascii="Source Sans Pro" w:hAnsi="Source Sans Pro" w:cs="Tahoma"/>
          <w:b/>
          <w:sz w:val="24"/>
          <w:szCs w:val="24"/>
          <w:lang w:val="en-GB"/>
        </w:rPr>
      </w:pPr>
    </w:p>
    <w:p w14:paraId="6C9EEC34" w14:textId="77777777" w:rsidR="00A47819" w:rsidRPr="00E63DD5" w:rsidRDefault="00A47819" w:rsidP="0023177B">
      <w:pPr>
        <w:jc w:val="center"/>
        <w:rPr>
          <w:rFonts w:ascii="Source Sans Pro" w:hAnsi="Source Sans Pro" w:cs="Tahoma"/>
          <w:b/>
          <w:sz w:val="24"/>
          <w:szCs w:val="24"/>
          <w:lang w:val="en-GB"/>
        </w:rPr>
      </w:pPr>
      <w:r w:rsidRPr="00E63DD5">
        <w:rPr>
          <w:rFonts w:ascii="Source Sans Pro" w:hAnsi="Source Sans Pro" w:cs="Tahoma"/>
          <w:b/>
          <w:noProof/>
          <w:sz w:val="24"/>
          <w:szCs w:val="24"/>
        </w:rPr>
        <w:drawing>
          <wp:inline distT="0" distB="0" distL="0" distR="0" wp14:anchorId="32917228" wp14:editId="10D543B9">
            <wp:extent cx="1104900" cy="10287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04900" cy="1028700"/>
                    </a:xfrm>
                    <a:prstGeom prst="rect">
                      <a:avLst/>
                    </a:prstGeom>
                    <a:noFill/>
                    <a:ln w="9525">
                      <a:noFill/>
                      <a:miter lim="800000"/>
                      <a:headEnd/>
                      <a:tailEnd/>
                    </a:ln>
                  </pic:spPr>
                </pic:pic>
              </a:graphicData>
            </a:graphic>
          </wp:inline>
        </w:drawing>
      </w:r>
    </w:p>
    <w:p w14:paraId="27D87B08" w14:textId="77777777" w:rsidR="00A47819" w:rsidRPr="00E63DD5" w:rsidRDefault="00A47819" w:rsidP="00A47819">
      <w:pPr>
        <w:jc w:val="center"/>
        <w:rPr>
          <w:rFonts w:ascii="Source Sans Pro" w:hAnsi="Source Sans Pro" w:cs="Tahoma"/>
          <w:b/>
          <w:sz w:val="24"/>
          <w:szCs w:val="24"/>
          <w:lang w:val="en-GB"/>
        </w:rPr>
      </w:pPr>
    </w:p>
    <w:p w14:paraId="36F4AA5D" w14:textId="77777777" w:rsidR="007F64DD" w:rsidRPr="00E63DD5" w:rsidRDefault="007F64DD" w:rsidP="00A47819">
      <w:pPr>
        <w:jc w:val="center"/>
        <w:rPr>
          <w:rFonts w:ascii="Source Sans Pro" w:hAnsi="Source Sans Pro" w:cs="Tahoma"/>
          <w:b/>
          <w:sz w:val="24"/>
          <w:szCs w:val="24"/>
          <w:lang w:val="en-GB"/>
        </w:rPr>
      </w:pPr>
    </w:p>
    <w:p w14:paraId="63387E0F" w14:textId="77777777" w:rsidR="00615856" w:rsidRPr="00E63DD5" w:rsidRDefault="00615856" w:rsidP="00A47819">
      <w:pPr>
        <w:jc w:val="center"/>
        <w:rPr>
          <w:rFonts w:ascii="Source Sans Pro" w:hAnsi="Source Sans Pro" w:cs="Tahoma"/>
          <w:b/>
          <w:sz w:val="24"/>
          <w:szCs w:val="24"/>
          <w:lang w:val="en-GB"/>
        </w:rPr>
      </w:pPr>
      <w:r w:rsidRPr="00E63DD5">
        <w:rPr>
          <w:rFonts w:ascii="Source Sans Pro" w:hAnsi="Source Sans Pro" w:cs="Tahoma"/>
          <w:b/>
          <w:sz w:val="24"/>
          <w:szCs w:val="24"/>
          <w:lang w:val="en-GB"/>
        </w:rPr>
        <w:t>Adopted</w:t>
      </w:r>
      <w:r w:rsidRPr="00E63DD5">
        <w:rPr>
          <w:rFonts w:ascii="Source Sans Pro" w:hAnsi="Source Sans Pro" w:cs="Tahoma"/>
          <w:b/>
          <w:color w:val="FF0000"/>
          <w:sz w:val="24"/>
          <w:szCs w:val="24"/>
          <w:lang w:val="en-GB"/>
        </w:rPr>
        <w:t xml:space="preserve"> </w:t>
      </w:r>
      <w:r w:rsidR="007F64DD" w:rsidRPr="00E63DD5">
        <w:rPr>
          <w:rFonts w:ascii="Source Sans Pro" w:hAnsi="Source Sans Pro" w:cs="Tahoma"/>
          <w:b/>
          <w:sz w:val="24"/>
          <w:szCs w:val="24"/>
          <w:lang w:val="en-GB"/>
        </w:rPr>
        <w:t xml:space="preserve">by the Elected Members of Leitrim County Council </w:t>
      </w:r>
      <w:r w:rsidRPr="00E63DD5">
        <w:rPr>
          <w:rFonts w:ascii="Source Sans Pro" w:hAnsi="Source Sans Pro" w:cs="Tahoma"/>
          <w:b/>
          <w:sz w:val="24"/>
          <w:szCs w:val="24"/>
          <w:lang w:val="en-GB"/>
        </w:rPr>
        <w:t xml:space="preserve">on </w:t>
      </w:r>
    </w:p>
    <w:p w14:paraId="09490235" w14:textId="77777777" w:rsidR="00615856" w:rsidRPr="00E63DD5" w:rsidRDefault="00D60FE7" w:rsidP="00A47819">
      <w:pPr>
        <w:jc w:val="center"/>
        <w:rPr>
          <w:rFonts w:ascii="Source Sans Pro" w:hAnsi="Source Sans Pro" w:cs="Tahoma"/>
          <w:b/>
          <w:sz w:val="24"/>
          <w:szCs w:val="24"/>
          <w:lang w:val="en-GB"/>
        </w:rPr>
      </w:pPr>
      <w:r w:rsidRPr="00E63DD5">
        <w:rPr>
          <w:rFonts w:ascii="Source Sans Pro" w:hAnsi="Source Sans Pro" w:cs="Tahoma"/>
          <w:b/>
          <w:sz w:val="24"/>
          <w:szCs w:val="24"/>
          <w:lang w:val="en-GB"/>
        </w:rPr>
        <w:t>2</w:t>
      </w:r>
      <w:r w:rsidRPr="00E63DD5">
        <w:rPr>
          <w:rFonts w:ascii="Source Sans Pro" w:hAnsi="Source Sans Pro" w:cs="Tahoma"/>
          <w:b/>
          <w:sz w:val="24"/>
          <w:szCs w:val="24"/>
          <w:vertAlign w:val="superscript"/>
          <w:lang w:val="en-GB"/>
        </w:rPr>
        <w:t>nd</w:t>
      </w:r>
      <w:r w:rsidRPr="00E63DD5">
        <w:rPr>
          <w:rFonts w:ascii="Source Sans Pro" w:hAnsi="Source Sans Pro" w:cs="Tahoma"/>
          <w:b/>
          <w:sz w:val="24"/>
          <w:szCs w:val="24"/>
          <w:lang w:val="en-GB"/>
        </w:rPr>
        <w:t xml:space="preserve"> July 2018 </w:t>
      </w:r>
      <w:r w:rsidR="007F64DD" w:rsidRPr="00E63DD5">
        <w:rPr>
          <w:rFonts w:ascii="Source Sans Pro" w:hAnsi="Source Sans Pro" w:cs="Tahoma"/>
          <w:b/>
          <w:sz w:val="24"/>
          <w:szCs w:val="24"/>
          <w:lang w:val="en-GB"/>
        </w:rPr>
        <w:t xml:space="preserve">in </w:t>
      </w:r>
      <w:r w:rsidR="00461549" w:rsidRPr="00E63DD5">
        <w:rPr>
          <w:rFonts w:ascii="Source Sans Pro" w:hAnsi="Source Sans Pro" w:cs="Tahoma"/>
          <w:b/>
          <w:sz w:val="24"/>
          <w:szCs w:val="24"/>
          <w:lang w:val="en-GB"/>
        </w:rPr>
        <w:t xml:space="preserve">accordance with Section 22 of the </w:t>
      </w:r>
    </w:p>
    <w:p w14:paraId="50E66F4A" w14:textId="77777777" w:rsidR="00A47819" w:rsidRPr="00E63DD5" w:rsidRDefault="00461549" w:rsidP="00A47819">
      <w:pPr>
        <w:jc w:val="center"/>
        <w:rPr>
          <w:rFonts w:ascii="Source Sans Pro" w:hAnsi="Source Sans Pro" w:cs="Tahoma"/>
          <w:b/>
          <w:sz w:val="24"/>
          <w:szCs w:val="24"/>
          <w:lang w:val="en-GB"/>
        </w:rPr>
      </w:pPr>
      <w:r w:rsidRPr="00E63DD5">
        <w:rPr>
          <w:rFonts w:ascii="Source Sans Pro" w:hAnsi="Source Sans Pro" w:cs="Tahoma"/>
          <w:b/>
          <w:sz w:val="24"/>
          <w:szCs w:val="24"/>
          <w:lang w:val="en-GB"/>
        </w:rPr>
        <w:t xml:space="preserve">Housing (Miscellaneous Provisions) Act, 2009 </w:t>
      </w:r>
    </w:p>
    <w:p w14:paraId="33484107" w14:textId="77777777" w:rsidR="00461549" w:rsidRPr="00E63DD5" w:rsidRDefault="00461549" w:rsidP="00A47819">
      <w:pPr>
        <w:jc w:val="center"/>
        <w:rPr>
          <w:rFonts w:ascii="Source Sans Pro" w:hAnsi="Source Sans Pro" w:cs="Tahoma"/>
          <w:b/>
          <w:sz w:val="24"/>
          <w:szCs w:val="24"/>
          <w:lang w:val="en-GB"/>
        </w:rPr>
      </w:pPr>
      <w:r w:rsidRPr="00E63DD5">
        <w:rPr>
          <w:rFonts w:ascii="Source Sans Pro" w:hAnsi="Source Sans Pro" w:cs="Tahoma"/>
          <w:b/>
          <w:sz w:val="24"/>
          <w:szCs w:val="24"/>
          <w:lang w:val="en-GB"/>
        </w:rPr>
        <w:t xml:space="preserve">And </w:t>
      </w:r>
    </w:p>
    <w:p w14:paraId="75F36688" w14:textId="77777777" w:rsidR="00461549" w:rsidRPr="00E63DD5" w:rsidRDefault="00461549" w:rsidP="00A47819">
      <w:pPr>
        <w:jc w:val="center"/>
        <w:rPr>
          <w:rFonts w:ascii="Source Sans Pro" w:hAnsi="Source Sans Pro" w:cs="Tahoma"/>
          <w:b/>
          <w:sz w:val="24"/>
          <w:szCs w:val="24"/>
          <w:lang w:val="en-GB"/>
        </w:rPr>
      </w:pPr>
      <w:r w:rsidRPr="00E63DD5">
        <w:rPr>
          <w:rFonts w:ascii="Source Sans Pro" w:hAnsi="Source Sans Pro" w:cs="Tahoma"/>
          <w:b/>
          <w:sz w:val="24"/>
          <w:szCs w:val="24"/>
          <w:lang w:val="en-GB"/>
        </w:rPr>
        <w:t>Social Housing Allocation Regulations 2011</w:t>
      </w:r>
      <w:r w:rsidR="00D60FE7" w:rsidRPr="00E63DD5">
        <w:rPr>
          <w:rFonts w:ascii="Source Sans Pro" w:hAnsi="Source Sans Pro" w:cs="Tahoma"/>
          <w:b/>
          <w:sz w:val="24"/>
          <w:szCs w:val="24"/>
          <w:lang w:val="en-GB"/>
        </w:rPr>
        <w:t xml:space="preserve"> -2016</w:t>
      </w:r>
      <w:r w:rsidRPr="00E63DD5">
        <w:rPr>
          <w:rFonts w:ascii="Source Sans Pro" w:hAnsi="Source Sans Pro" w:cs="Tahoma"/>
          <w:b/>
          <w:sz w:val="24"/>
          <w:szCs w:val="24"/>
          <w:lang w:val="en-GB"/>
        </w:rPr>
        <w:t xml:space="preserve"> </w:t>
      </w:r>
    </w:p>
    <w:p w14:paraId="15B16A11" w14:textId="77777777" w:rsidR="00D60FE7" w:rsidRPr="00E63DD5" w:rsidRDefault="00461549" w:rsidP="00A47819">
      <w:pPr>
        <w:jc w:val="center"/>
        <w:rPr>
          <w:rFonts w:ascii="Source Sans Pro" w:hAnsi="Source Sans Pro" w:cs="Tahoma"/>
          <w:b/>
          <w:sz w:val="24"/>
          <w:szCs w:val="24"/>
          <w:lang w:val="en-GB"/>
        </w:rPr>
      </w:pPr>
      <w:r w:rsidRPr="00E63DD5">
        <w:rPr>
          <w:rFonts w:ascii="Source Sans Pro" w:hAnsi="Source Sans Pro" w:cs="Tahoma"/>
          <w:b/>
          <w:sz w:val="24"/>
          <w:szCs w:val="24"/>
          <w:lang w:val="en-GB"/>
        </w:rPr>
        <w:t>(S.I No. 198 of 2011</w:t>
      </w:r>
    </w:p>
    <w:p w14:paraId="523ECEFD" w14:textId="77777777" w:rsidR="00461549" w:rsidRPr="00E63DD5" w:rsidRDefault="00D60FE7" w:rsidP="00A47819">
      <w:pPr>
        <w:jc w:val="center"/>
        <w:rPr>
          <w:rFonts w:ascii="Source Sans Pro" w:hAnsi="Source Sans Pro" w:cs="Tahoma"/>
          <w:b/>
          <w:sz w:val="24"/>
          <w:szCs w:val="24"/>
          <w:lang w:val="en-GB"/>
        </w:rPr>
      </w:pPr>
      <w:r w:rsidRPr="00E63DD5">
        <w:rPr>
          <w:rFonts w:ascii="Source Sans Pro" w:hAnsi="Source Sans Pro" w:cs="Tahoma"/>
          <w:b/>
          <w:sz w:val="24"/>
          <w:szCs w:val="24"/>
          <w:lang w:val="en-GB"/>
        </w:rPr>
        <w:t>&amp; S.I No. 503 of 2016</w:t>
      </w:r>
      <w:r w:rsidR="00461549" w:rsidRPr="00E63DD5">
        <w:rPr>
          <w:rFonts w:ascii="Source Sans Pro" w:hAnsi="Source Sans Pro" w:cs="Tahoma"/>
          <w:b/>
          <w:sz w:val="24"/>
          <w:szCs w:val="24"/>
          <w:lang w:val="en-GB"/>
        </w:rPr>
        <w:t xml:space="preserve">) </w:t>
      </w:r>
    </w:p>
    <w:p w14:paraId="4E979E52" w14:textId="77777777" w:rsidR="00A47819" w:rsidRPr="00E63DD5" w:rsidRDefault="00A47819" w:rsidP="00A47819">
      <w:pPr>
        <w:jc w:val="center"/>
        <w:rPr>
          <w:rFonts w:ascii="Source Sans Pro" w:hAnsi="Source Sans Pro" w:cs="Tahoma"/>
          <w:b/>
          <w:sz w:val="24"/>
          <w:szCs w:val="24"/>
          <w:lang w:val="en-GB"/>
        </w:rPr>
      </w:pPr>
    </w:p>
    <w:p w14:paraId="29A18489" w14:textId="77777777" w:rsidR="007F64DD" w:rsidRPr="00E63DD5" w:rsidRDefault="007F64DD" w:rsidP="00A47819">
      <w:pPr>
        <w:jc w:val="center"/>
        <w:rPr>
          <w:rFonts w:ascii="Source Sans Pro" w:hAnsi="Source Sans Pro" w:cs="Tahoma"/>
          <w:b/>
          <w:sz w:val="24"/>
          <w:szCs w:val="24"/>
          <w:lang w:val="en-GB"/>
        </w:rPr>
      </w:pPr>
    </w:p>
    <w:p w14:paraId="34663FF5" w14:textId="77777777" w:rsidR="00A47819" w:rsidRDefault="00A47819" w:rsidP="00A47819">
      <w:pPr>
        <w:jc w:val="center"/>
        <w:rPr>
          <w:rFonts w:ascii="Source Sans Pro" w:hAnsi="Source Sans Pro" w:cs="Tahoma"/>
          <w:b/>
          <w:sz w:val="24"/>
          <w:szCs w:val="24"/>
          <w:lang w:val="en-GB"/>
        </w:rPr>
      </w:pPr>
    </w:p>
    <w:p w14:paraId="764E9090" w14:textId="77777777" w:rsidR="00E63DD5" w:rsidRDefault="00E63DD5" w:rsidP="00A47819">
      <w:pPr>
        <w:jc w:val="center"/>
        <w:rPr>
          <w:rFonts w:ascii="Source Sans Pro" w:hAnsi="Source Sans Pro" w:cs="Tahoma"/>
          <w:b/>
          <w:sz w:val="24"/>
          <w:szCs w:val="24"/>
          <w:lang w:val="en-GB"/>
        </w:rPr>
      </w:pPr>
    </w:p>
    <w:p w14:paraId="6A0C8BB4" w14:textId="77777777" w:rsidR="00E63DD5" w:rsidRDefault="00E63DD5" w:rsidP="00A47819">
      <w:pPr>
        <w:jc w:val="center"/>
        <w:rPr>
          <w:rFonts w:ascii="Source Sans Pro" w:hAnsi="Source Sans Pro" w:cs="Tahoma"/>
          <w:b/>
          <w:sz w:val="24"/>
          <w:szCs w:val="24"/>
          <w:lang w:val="en-GB"/>
        </w:rPr>
      </w:pPr>
    </w:p>
    <w:p w14:paraId="1DDE8D08" w14:textId="77777777" w:rsidR="00E63DD5" w:rsidRDefault="00E63DD5" w:rsidP="00A47819">
      <w:pPr>
        <w:jc w:val="center"/>
        <w:rPr>
          <w:rFonts w:ascii="Source Sans Pro" w:hAnsi="Source Sans Pro" w:cs="Tahoma"/>
          <w:b/>
          <w:sz w:val="24"/>
          <w:szCs w:val="24"/>
          <w:lang w:val="en-GB"/>
        </w:rPr>
      </w:pPr>
    </w:p>
    <w:p w14:paraId="73CB8826" w14:textId="77777777" w:rsidR="00E63DD5" w:rsidRDefault="00E63DD5" w:rsidP="00A47819">
      <w:pPr>
        <w:jc w:val="center"/>
        <w:rPr>
          <w:rFonts w:ascii="Source Sans Pro" w:hAnsi="Source Sans Pro" w:cs="Tahoma"/>
          <w:b/>
          <w:sz w:val="24"/>
          <w:szCs w:val="24"/>
          <w:lang w:val="en-GB"/>
        </w:rPr>
      </w:pPr>
    </w:p>
    <w:p w14:paraId="5EB00281" w14:textId="77777777" w:rsidR="00E63DD5" w:rsidRPr="00E63DD5" w:rsidRDefault="00E63DD5" w:rsidP="00A47819">
      <w:pPr>
        <w:jc w:val="center"/>
        <w:rPr>
          <w:rFonts w:ascii="Source Sans Pro" w:hAnsi="Source Sans Pro" w:cs="Tahoma"/>
          <w:b/>
          <w:sz w:val="24"/>
          <w:szCs w:val="24"/>
          <w:lang w:val="en-GB"/>
        </w:rPr>
      </w:pPr>
    </w:p>
    <w:p w14:paraId="51B058B8" w14:textId="77777777" w:rsidR="003D63C0" w:rsidRPr="00E63DD5" w:rsidRDefault="003D63C0" w:rsidP="00A47819">
      <w:pPr>
        <w:jc w:val="center"/>
        <w:rPr>
          <w:rFonts w:ascii="Source Sans Pro" w:hAnsi="Source Sans Pro" w:cs="Tahoma"/>
          <w:b/>
          <w:sz w:val="24"/>
          <w:szCs w:val="24"/>
          <w:lang w:val="en-GB"/>
        </w:rPr>
      </w:pPr>
    </w:p>
    <w:p w14:paraId="754865F4" w14:textId="77777777" w:rsidR="003D63C0" w:rsidRPr="00E63DD5" w:rsidRDefault="003D63C0" w:rsidP="00B97B67">
      <w:pPr>
        <w:ind w:left="7920" w:firstLine="720"/>
        <w:jc w:val="center"/>
        <w:rPr>
          <w:rFonts w:ascii="Source Sans Pro" w:hAnsi="Source Sans Pro" w:cs="Tahoma"/>
          <w:b/>
          <w:sz w:val="24"/>
          <w:szCs w:val="24"/>
          <w:lang w:val="en-GB"/>
        </w:rPr>
      </w:pPr>
    </w:p>
    <w:p w14:paraId="757C3D0B" w14:textId="77777777" w:rsidR="007F64DD" w:rsidRPr="00E63DD5" w:rsidRDefault="007F64DD" w:rsidP="00B97B67">
      <w:pPr>
        <w:ind w:left="7920" w:firstLine="720"/>
        <w:jc w:val="center"/>
        <w:rPr>
          <w:rFonts w:ascii="Source Sans Pro" w:hAnsi="Source Sans Pro" w:cs="Tahoma"/>
          <w:b/>
          <w:sz w:val="24"/>
          <w:szCs w:val="24"/>
          <w:lang w:val="en-GB"/>
        </w:rPr>
      </w:pPr>
    </w:p>
    <w:p w14:paraId="3A3ED57E" w14:textId="77777777" w:rsidR="00B97B67" w:rsidRPr="00E63DD5" w:rsidRDefault="00B97B67" w:rsidP="00B97B67">
      <w:pPr>
        <w:ind w:left="7920" w:firstLine="720"/>
        <w:jc w:val="center"/>
        <w:rPr>
          <w:rFonts w:ascii="Source Sans Pro" w:hAnsi="Source Sans Pro" w:cs="Tahoma"/>
          <w:b/>
          <w:sz w:val="24"/>
          <w:szCs w:val="24"/>
          <w:lang w:val="en-GB"/>
        </w:rPr>
      </w:pPr>
      <w:r w:rsidRPr="00E63DD5">
        <w:rPr>
          <w:rFonts w:ascii="Source Sans Pro" w:hAnsi="Source Sans Pro" w:cs="Tahoma"/>
          <w:b/>
          <w:sz w:val="24"/>
          <w:szCs w:val="24"/>
          <w:lang w:val="en-GB"/>
        </w:rPr>
        <w:lastRenderedPageBreak/>
        <w:t>Page</w:t>
      </w:r>
    </w:p>
    <w:p w14:paraId="17911E6A" w14:textId="77777777" w:rsidR="00C7722C" w:rsidRPr="00E63DD5" w:rsidRDefault="00C7722C"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Table of Contents </w:t>
      </w:r>
      <w:r w:rsidR="00EB3C50" w:rsidRPr="00E63DD5">
        <w:rPr>
          <w:rFonts w:ascii="Source Sans Pro" w:hAnsi="Source Sans Pro" w:cs="Tahoma"/>
          <w:b/>
          <w:sz w:val="24"/>
          <w:szCs w:val="24"/>
          <w:lang w:val="en-GB"/>
        </w:rPr>
        <w:tab/>
      </w:r>
      <w:r w:rsidR="00EB3C50" w:rsidRPr="00E63DD5">
        <w:rPr>
          <w:rFonts w:ascii="Source Sans Pro" w:hAnsi="Source Sans Pro" w:cs="Tahoma"/>
          <w:b/>
          <w:sz w:val="24"/>
          <w:szCs w:val="24"/>
          <w:lang w:val="en-GB"/>
        </w:rPr>
        <w:tab/>
      </w:r>
      <w:r w:rsidR="00EB3C50" w:rsidRPr="00E63DD5">
        <w:rPr>
          <w:rFonts w:ascii="Source Sans Pro" w:hAnsi="Source Sans Pro" w:cs="Tahoma"/>
          <w:b/>
          <w:sz w:val="24"/>
          <w:szCs w:val="24"/>
          <w:lang w:val="en-GB"/>
        </w:rPr>
        <w:tab/>
      </w:r>
      <w:r w:rsidR="00EB3C50" w:rsidRPr="00E63DD5">
        <w:rPr>
          <w:rFonts w:ascii="Source Sans Pro" w:hAnsi="Source Sans Pro" w:cs="Tahoma"/>
          <w:b/>
          <w:sz w:val="24"/>
          <w:szCs w:val="24"/>
          <w:lang w:val="en-GB"/>
        </w:rPr>
        <w:tab/>
      </w:r>
      <w:r w:rsidR="00EB3C50" w:rsidRPr="00E63DD5">
        <w:rPr>
          <w:rFonts w:ascii="Source Sans Pro" w:hAnsi="Source Sans Pro" w:cs="Tahoma"/>
          <w:b/>
          <w:sz w:val="24"/>
          <w:szCs w:val="24"/>
          <w:lang w:val="en-GB"/>
        </w:rPr>
        <w:tab/>
      </w:r>
      <w:r w:rsidR="00EB3C50" w:rsidRPr="00E63DD5">
        <w:rPr>
          <w:rFonts w:ascii="Source Sans Pro" w:hAnsi="Source Sans Pro" w:cs="Tahoma"/>
          <w:b/>
          <w:sz w:val="24"/>
          <w:szCs w:val="24"/>
          <w:lang w:val="en-GB"/>
        </w:rPr>
        <w:tab/>
      </w:r>
      <w:r w:rsidR="00EB3C50" w:rsidRPr="00E63DD5">
        <w:rPr>
          <w:rFonts w:ascii="Source Sans Pro" w:hAnsi="Source Sans Pro" w:cs="Tahoma"/>
          <w:b/>
          <w:sz w:val="24"/>
          <w:szCs w:val="24"/>
          <w:lang w:val="en-GB"/>
        </w:rPr>
        <w:tab/>
      </w:r>
      <w:r w:rsidR="00EB3C50" w:rsidRPr="00E63DD5">
        <w:rPr>
          <w:rFonts w:ascii="Source Sans Pro" w:hAnsi="Source Sans Pro" w:cs="Tahoma"/>
          <w:b/>
          <w:sz w:val="24"/>
          <w:szCs w:val="24"/>
          <w:lang w:val="en-GB"/>
        </w:rPr>
        <w:tab/>
      </w:r>
      <w:r w:rsidR="00EB3C50" w:rsidRPr="00E63DD5">
        <w:rPr>
          <w:rFonts w:ascii="Source Sans Pro" w:hAnsi="Source Sans Pro" w:cs="Tahoma"/>
          <w:b/>
          <w:sz w:val="24"/>
          <w:szCs w:val="24"/>
          <w:lang w:val="en-GB"/>
        </w:rPr>
        <w:tab/>
        <w:t xml:space="preserve"> </w:t>
      </w:r>
    </w:p>
    <w:p w14:paraId="3548819B" w14:textId="77777777" w:rsidR="00C7722C" w:rsidRPr="00E63DD5" w:rsidRDefault="00C7722C" w:rsidP="00A47819">
      <w:pPr>
        <w:rPr>
          <w:rFonts w:ascii="Source Sans Pro" w:hAnsi="Source Sans Pro" w:cs="Tahoma"/>
          <w:b/>
          <w:sz w:val="24"/>
          <w:szCs w:val="24"/>
          <w:lang w:val="en-GB"/>
        </w:rPr>
      </w:pPr>
    </w:p>
    <w:p w14:paraId="39A0DA85" w14:textId="77777777" w:rsidR="00C7722C" w:rsidRPr="00E63DD5" w:rsidRDefault="00EB3C50"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Introduction – Purpose of the Scheme </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t>3</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p>
    <w:p w14:paraId="6AEBF788" w14:textId="77777777" w:rsidR="00EB3C50" w:rsidRPr="00E63DD5" w:rsidRDefault="00EB3C50"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Dwellings for inclusion in the Allocation Scheme </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t>3</w:t>
      </w:r>
    </w:p>
    <w:p w14:paraId="798406BA" w14:textId="77777777" w:rsidR="00EB3C50" w:rsidRPr="00E63DD5" w:rsidRDefault="00EB3C50" w:rsidP="00A47819">
      <w:pPr>
        <w:rPr>
          <w:rFonts w:ascii="Source Sans Pro" w:hAnsi="Source Sans Pro" w:cs="Tahoma"/>
          <w:b/>
          <w:sz w:val="24"/>
          <w:szCs w:val="24"/>
          <w:lang w:val="en-GB"/>
        </w:rPr>
      </w:pPr>
    </w:p>
    <w:p w14:paraId="5903042E" w14:textId="77777777" w:rsidR="00EB3C50" w:rsidRPr="00E63DD5" w:rsidRDefault="00D2282F"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Order of Priority </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t>3</w:t>
      </w:r>
    </w:p>
    <w:p w14:paraId="63C4473A" w14:textId="77777777" w:rsidR="00EB3C50" w:rsidRPr="00E63DD5" w:rsidRDefault="00EB3C50" w:rsidP="00A47819">
      <w:pPr>
        <w:rPr>
          <w:rFonts w:ascii="Source Sans Pro" w:hAnsi="Source Sans Pro" w:cs="Tahoma"/>
          <w:b/>
          <w:sz w:val="24"/>
          <w:szCs w:val="24"/>
          <w:lang w:val="en-GB"/>
        </w:rPr>
      </w:pPr>
    </w:p>
    <w:p w14:paraId="7BED7932" w14:textId="77777777" w:rsidR="00EB3C50" w:rsidRPr="00E63DD5" w:rsidRDefault="00EB3C50"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Reviewing eligibility for Social Housing Supports </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t>4</w:t>
      </w:r>
    </w:p>
    <w:p w14:paraId="604F8067" w14:textId="77777777" w:rsidR="00EB3C50" w:rsidRPr="00E63DD5" w:rsidRDefault="00EB3C50" w:rsidP="00A47819">
      <w:pPr>
        <w:rPr>
          <w:rFonts w:ascii="Source Sans Pro" w:hAnsi="Source Sans Pro" w:cs="Tahoma"/>
          <w:b/>
          <w:sz w:val="24"/>
          <w:szCs w:val="24"/>
          <w:lang w:val="en-GB"/>
        </w:rPr>
      </w:pPr>
    </w:p>
    <w:p w14:paraId="64FDD864" w14:textId="77777777" w:rsidR="00EB3C50" w:rsidRPr="00E63DD5" w:rsidRDefault="00B97B67"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Exceptions </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t>4</w:t>
      </w:r>
    </w:p>
    <w:p w14:paraId="79636085" w14:textId="77777777" w:rsidR="00EB3C50" w:rsidRPr="00E63DD5" w:rsidRDefault="00EB3C50" w:rsidP="00A47819">
      <w:pPr>
        <w:rPr>
          <w:rFonts w:ascii="Source Sans Pro" w:hAnsi="Source Sans Pro" w:cs="Tahoma"/>
          <w:b/>
          <w:sz w:val="24"/>
          <w:szCs w:val="24"/>
          <w:lang w:val="en-GB"/>
        </w:rPr>
      </w:pPr>
    </w:p>
    <w:p w14:paraId="747AD99B" w14:textId="77777777" w:rsidR="00EB3C50" w:rsidRPr="00E63DD5" w:rsidRDefault="00EB3C50"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Medical Report </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t>5</w:t>
      </w:r>
    </w:p>
    <w:p w14:paraId="27FB02ED" w14:textId="77777777" w:rsidR="00EB3C50" w:rsidRPr="00E63DD5" w:rsidRDefault="00EB3C50" w:rsidP="00A47819">
      <w:pPr>
        <w:rPr>
          <w:rFonts w:ascii="Source Sans Pro" w:hAnsi="Source Sans Pro" w:cs="Tahoma"/>
          <w:b/>
          <w:sz w:val="24"/>
          <w:szCs w:val="24"/>
          <w:lang w:val="en-GB"/>
        </w:rPr>
      </w:pPr>
    </w:p>
    <w:p w14:paraId="63ABFC10" w14:textId="77777777" w:rsidR="00EB3C50" w:rsidRPr="00E63DD5" w:rsidRDefault="00EB3C50"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Special Category Allocations </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t>5</w:t>
      </w:r>
    </w:p>
    <w:p w14:paraId="57F1D3F8" w14:textId="77777777" w:rsidR="0086237D" w:rsidRPr="00E63DD5" w:rsidRDefault="0086237D" w:rsidP="00A47819">
      <w:pPr>
        <w:rPr>
          <w:rFonts w:ascii="Source Sans Pro" w:hAnsi="Source Sans Pro" w:cs="Tahoma"/>
          <w:b/>
          <w:sz w:val="24"/>
          <w:szCs w:val="24"/>
          <w:lang w:val="en-GB"/>
        </w:rPr>
      </w:pPr>
    </w:p>
    <w:p w14:paraId="735DA8FB" w14:textId="77777777" w:rsidR="0086237D" w:rsidRPr="00E63DD5" w:rsidRDefault="0086237D"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Choice Based Letting </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t>5</w:t>
      </w:r>
    </w:p>
    <w:p w14:paraId="6B28A7DB" w14:textId="77777777" w:rsidR="00EB3C50" w:rsidRPr="00E63DD5" w:rsidRDefault="00EB3C50" w:rsidP="00A47819">
      <w:pPr>
        <w:rPr>
          <w:rFonts w:ascii="Source Sans Pro" w:hAnsi="Source Sans Pro" w:cs="Tahoma"/>
          <w:b/>
          <w:sz w:val="24"/>
          <w:szCs w:val="24"/>
          <w:lang w:val="en-GB"/>
        </w:rPr>
      </w:pPr>
    </w:p>
    <w:p w14:paraId="11BC745F" w14:textId="77777777" w:rsidR="00EB3C50" w:rsidRPr="00E63DD5" w:rsidRDefault="0086237D"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Emergency Allocations </w:t>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r>
      <w:r w:rsidRPr="00E63DD5">
        <w:rPr>
          <w:rFonts w:ascii="Source Sans Pro" w:hAnsi="Source Sans Pro" w:cs="Tahoma"/>
          <w:b/>
          <w:sz w:val="24"/>
          <w:szCs w:val="24"/>
          <w:lang w:val="en-GB"/>
        </w:rPr>
        <w:tab/>
        <w:t>6</w:t>
      </w:r>
    </w:p>
    <w:p w14:paraId="05C92513" w14:textId="77777777" w:rsidR="00EB3C50" w:rsidRPr="00E63DD5" w:rsidRDefault="00EB3C50" w:rsidP="00A47819">
      <w:pPr>
        <w:rPr>
          <w:rFonts w:ascii="Source Sans Pro" w:hAnsi="Source Sans Pro" w:cs="Tahoma"/>
          <w:b/>
          <w:sz w:val="24"/>
          <w:szCs w:val="24"/>
          <w:lang w:val="en-GB"/>
        </w:rPr>
      </w:pPr>
    </w:p>
    <w:p w14:paraId="10A00519" w14:textId="77777777" w:rsidR="00EB3C50" w:rsidRPr="00E63DD5" w:rsidRDefault="00EB3C50" w:rsidP="00EB3C50">
      <w:pPr>
        <w:rPr>
          <w:rFonts w:ascii="Source Sans Pro" w:hAnsi="Source Sans Pro" w:cs="Tahoma"/>
          <w:b/>
          <w:sz w:val="24"/>
          <w:szCs w:val="24"/>
          <w:lang w:val="en-GB"/>
        </w:rPr>
      </w:pPr>
      <w:r w:rsidRPr="00E63DD5">
        <w:rPr>
          <w:rFonts w:ascii="Source Sans Pro" w:hAnsi="Source Sans Pro" w:cs="Tahoma"/>
          <w:b/>
          <w:sz w:val="24"/>
          <w:szCs w:val="24"/>
          <w:lang w:val="en-GB"/>
        </w:rPr>
        <w:t xml:space="preserve">Refusals of Offers of Accommodation by Housing Applicants </w:t>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t>6</w:t>
      </w:r>
    </w:p>
    <w:p w14:paraId="65F05696" w14:textId="77777777" w:rsidR="00EB3C50" w:rsidRPr="00E63DD5" w:rsidRDefault="00EB3C50" w:rsidP="00EB3C50">
      <w:pPr>
        <w:rPr>
          <w:rFonts w:ascii="Source Sans Pro" w:hAnsi="Source Sans Pro" w:cs="Tahoma"/>
          <w:b/>
          <w:sz w:val="24"/>
          <w:szCs w:val="24"/>
          <w:lang w:val="en-GB"/>
        </w:rPr>
      </w:pPr>
    </w:p>
    <w:p w14:paraId="5036B5C6" w14:textId="77777777" w:rsidR="00EB3C50" w:rsidRPr="00E63DD5" w:rsidRDefault="00EB3C50" w:rsidP="00EB3C50">
      <w:pPr>
        <w:autoSpaceDE w:val="0"/>
        <w:autoSpaceDN w:val="0"/>
        <w:adjustRightInd w:val="0"/>
        <w:rPr>
          <w:rFonts w:ascii="Source Sans Pro" w:hAnsi="Source Sans Pro" w:cs="Tahoma"/>
          <w:b/>
          <w:sz w:val="24"/>
          <w:szCs w:val="24"/>
          <w:lang w:eastAsia="en-GB"/>
        </w:rPr>
      </w:pPr>
      <w:r w:rsidRPr="00E63DD5">
        <w:rPr>
          <w:rFonts w:ascii="Source Sans Pro" w:hAnsi="Source Sans Pro" w:cs="Tahoma"/>
          <w:b/>
          <w:sz w:val="24"/>
          <w:szCs w:val="24"/>
          <w:lang w:eastAsia="en-GB"/>
        </w:rPr>
        <w:t xml:space="preserve">Refusal of Housing Authority to allocate </w:t>
      </w:r>
      <w:r w:rsidR="00AB462E" w:rsidRPr="00E63DD5">
        <w:rPr>
          <w:rFonts w:ascii="Source Sans Pro" w:hAnsi="Source Sans Pro" w:cs="Tahoma"/>
          <w:b/>
          <w:sz w:val="24"/>
          <w:szCs w:val="24"/>
          <w:lang w:eastAsia="en-GB"/>
        </w:rPr>
        <w:tab/>
      </w:r>
      <w:r w:rsidR="00AB462E" w:rsidRPr="00E63DD5">
        <w:rPr>
          <w:rFonts w:ascii="Source Sans Pro" w:hAnsi="Source Sans Pro" w:cs="Tahoma"/>
          <w:b/>
          <w:sz w:val="24"/>
          <w:szCs w:val="24"/>
          <w:lang w:eastAsia="en-GB"/>
        </w:rPr>
        <w:tab/>
      </w:r>
      <w:r w:rsidR="00AB462E" w:rsidRPr="00E63DD5">
        <w:rPr>
          <w:rFonts w:ascii="Source Sans Pro" w:hAnsi="Source Sans Pro" w:cs="Tahoma"/>
          <w:b/>
          <w:sz w:val="24"/>
          <w:szCs w:val="24"/>
          <w:lang w:eastAsia="en-GB"/>
        </w:rPr>
        <w:tab/>
      </w:r>
      <w:r w:rsidR="00AB462E" w:rsidRPr="00E63DD5">
        <w:rPr>
          <w:rFonts w:ascii="Source Sans Pro" w:hAnsi="Source Sans Pro" w:cs="Tahoma"/>
          <w:b/>
          <w:sz w:val="24"/>
          <w:szCs w:val="24"/>
          <w:lang w:eastAsia="en-GB"/>
        </w:rPr>
        <w:tab/>
      </w:r>
      <w:r w:rsidR="00AB462E" w:rsidRPr="00E63DD5">
        <w:rPr>
          <w:rFonts w:ascii="Source Sans Pro" w:hAnsi="Source Sans Pro" w:cs="Tahoma"/>
          <w:b/>
          <w:sz w:val="24"/>
          <w:szCs w:val="24"/>
          <w:lang w:eastAsia="en-GB"/>
        </w:rPr>
        <w:tab/>
      </w:r>
      <w:r w:rsidR="00AB462E" w:rsidRPr="00E63DD5">
        <w:rPr>
          <w:rFonts w:ascii="Source Sans Pro" w:hAnsi="Source Sans Pro" w:cs="Tahoma"/>
          <w:b/>
          <w:sz w:val="24"/>
          <w:szCs w:val="24"/>
          <w:lang w:eastAsia="en-GB"/>
        </w:rPr>
        <w:tab/>
      </w:r>
      <w:r w:rsidR="0086237D" w:rsidRPr="00E63DD5">
        <w:rPr>
          <w:rFonts w:ascii="Source Sans Pro" w:hAnsi="Source Sans Pro" w:cs="Tahoma"/>
          <w:b/>
          <w:sz w:val="24"/>
          <w:szCs w:val="24"/>
          <w:lang w:eastAsia="en-GB"/>
        </w:rPr>
        <w:t>7</w:t>
      </w:r>
    </w:p>
    <w:p w14:paraId="5DE83B61" w14:textId="77777777" w:rsidR="00EB3C50" w:rsidRPr="00E63DD5" w:rsidRDefault="00EB3C50" w:rsidP="00EB3C50">
      <w:pPr>
        <w:autoSpaceDE w:val="0"/>
        <w:autoSpaceDN w:val="0"/>
        <w:adjustRightInd w:val="0"/>
        <w:rPr>
          <w:rFonts w:ascii="Source Sans Pro" w:hAnsi="Source Sans Pro" w:cs="Tahoma"/>
          <w:b/>
          <w:sz w:val="24"/>
          <w:szCs w:val="24"/>
          <w:lang w:eastAsia="en-GB"/>
        </w:rPr>
      </w:pPr>
    </w:p>
    <w:p w14:paraId="313AD8E6" w14:textId="77777777" w:rsidR="00EB3C50" w:rsidRPr="00E63DD5" w:rsidRDefault="00EB3C50" w:rsidP="00A47819">
      <w:pPr>
        <w:rPr>
          <w:rFonts w:ascii="Source Sans Pro" w:hAnsi="Source Sans Pro" w:cs="Tahoma"/>
          <w:b/>
          <w:sz w:val="24"/>
          <w:szCs w:val="24"/>
          <w:lang w:val="en-GB"/>
        </w:rPr>
      </w:pPr>
      <w:r w:rsidRPr="00E63DD5">
        <w:rPr>
          <w:rFonts w:ascii="Source Sans Pro" w:hAnsi="Source Sans Pro" w:cs="Tahoma"/>
          <w:b/>
          <w:sz w:val="24"/>
          <w:szCs w:val="24"/>
          <w:lang w:val="en-GB"/>
        </w:rPr>
        <w:t>Transfer</w:t>
      </w:r>
      <w:r w:rsidR="00FE2AAC" w:rsidRPr="00E63DD5">
        <w:rPr>
          <w:rFonts w:ascii="Source Sans Pro" w:hAnsi="Source Sans Pro" w:cs="Tahoma"/>
          <w:b/>
          <w:sz w:val="24"/>
          <w:szCs w:val="24"/>
          <w:lang w:val="en-GB"/>
        </w:rPr>
        <w:t xml:space="preserve">s </w:t>
      </w:r>
      <w:r w:rsidR="00FE2AAC" w:rsidRPr="00E63DD5">
        <w:rPr>
          <w:rFonts w:ascii="Source Sans Pro" w:hAnsi="Source Sans Pro" w:cs="Tahoma"/>
          <w:b/>
          <w:sz w:val="24"/>
          <w:szCs w:val="24"/>
          <w:lang w:val="en-GB"/>
        </w:rPr>
        <w:tab/>
      </w:r>
      <w:r w:rsidR="00FE2AAC" w:rsidRPr="00E63DD5">
        <w:rPr>
          <w:rFonts w:ascii="Source Sans Pro" w:hAnsi="Source Sans Pro" w:cs="Tahoma"/>
          <w:b/>
          <w:sz w:val="24"/>
          <w:szCs w:val="24"/>
          <w:lang w:val="en-GB"/>
        </w:rPr>
        <w:tab/>
      </w:r>
      <w:r w:rsidR="00FE2AAC"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t>8</w:t>
      </w:r>
    </w:p>
    <w:p w14:paraId="399FAF2B" w14:textId="77777777" w:rsidR="00EB3C50" w:rsidRPr="00E63DD5" w:rsidRDefault="00EB3C50" w:rsidP="00A47819">
      <w:pPr>
        <w:rPr>
          <w:rFonts w:ascii="Source Sans Pro" w:hAnsi="Source Sans Pro" w:cs="Tahoma"/>
          <w:b/>
          <w:sz w:val="24"/>
          <w:szCs w:val="24"/>
          <w:lang w:val="en-GB"/>
        </w:rPr>
      </w:pPr>
    </w:p>
    <w:p w14:paraId="3E0FE6A1" w14:textId="77777777" w:rsidR="00EB3C50" w:rsidRPr="00E63DD5" w:rsidRDefault="00FE2AAC" w:rsidP="00A47819">
      <w:pPr>
        <w:rPr>
          <w:rFonts w:ascii="Source Sans Pro" w:hAnsi="Source Sans Pro" w:cs="Tahoma"/>
          <w:b/>
          <w:sz w:val="24"/>
          <w:szCs w:val="24"/>
          <w:lang w:val="en-GB"/>
        </w:rPr>
      </w:pPr>
      <w:r w:rsidRPr="00E63DD5">
        <w:rPr>
          <w:rFonts w:ascii="Source Sans Pro" w:hAnsi="Source Sans Pro" w:cs="Tahoma"/>
          <w:b/>
          <w:sz w:val="24"/>
          <w:szCs w:val="24"/>
          <w:lang w:val="en-GB"/>
        </w:rPr>
        <w:t xml:space="preserve">Succession </w:t>
      </w:r>
      <w:r w:rsidR="00EB3C50" w:rsidRPr="00E63DD5">
        <w:rPr>
          <w:rFonts w:ascii="Source Sans Pro" w:hAnsi="Source Sans Pro" w:cs="Tahoma"/>
          <w:b/>
          <w:sz w:val="24"/>
          <w:szCs w:val="24"/>
          <w:lang w:val="en-GB"/>
        </w:rPr>
        <w:t>Tenanc</w:t>
      </w:r>
      <w:r w:rsidRPr="00E63DD5">
        <w:rPr>
          <w:rFonts w:ascii="Source Sans Pro" w:hAnsi="Source Sans Pro" w:cs="Tahoma"/>
          <w:b/>
          <w:sz w:val="24"/>
          <w:szCs w:val="24"/>
          <w:lang w:val="en-GB"/>
        </w:rPr>
        <w:t xml:space="preserve">ies </w:t>
      </w:r>
      <w:r w:rsidR="00AB462E" w:rsidRPr="00E63DD5">
        <w:rPr>
          <w:rFonts w:ascii="Source Sans Pro" w:hAnsi="Source Sans Pro" w:cs="Tahoma"/>
          <w:b/>
          <w:sz w:val="24"/>
          <w:szCs w:val="24"/>
          <w:lang w:val="en-GB"/>
        </w:rPr>
        <w:tab/>
      </w:r>
      <w:r w:rsidR="00AB462E" w:rsidRPr="00E63DD5">
        <w:rPr>
          <w:rFonts w:ascii="Source Sans Pro" w:hAnsi="Source Sans Pro" w:cs="Tahoma"/>
          <w:b/>
          <w:sz w:val="24"/>
          <w:szCs w:val="24"/>
          <w:lang w:val="en-GB"/>
        </w:rPr>
        <w:tab/>
      </w:r>
      <w:r w:rsidR="00AB462E" w:rsidRPr="00E63DD5">
        <w:rPr>
          <w:rFonts w:ascii="Source Sans Pro" w:hAnsi="Source Sans Pro" w:cs="Tahoma"/>
          <w:b/>
          <w:sz w:val="24"/>
          <w:szCs w:val="24"/>
          <w:lang w:val="en-GB"/>
        </w:rPr>
        <w:tab/>
      </w:r>
      <w:r w:rsidR="00AB462E" w:rsidRPr="00E63DD5">
        <w:rPr>
          <w:rFonts w:ascii="Source Sans Pro" w:hAnsi="Source Sans Pro" w:cs="Tahoma"/>
          <w:b/>
          <w:sz w:val="24"/>
          <w:szCs w:val="24"/>
          <w:lang w:val="en-GB"/>
        </w:rPr>
        <w:tab/>
      </w:r>
      <w:r w:rsidR="00AB462E" w:rsidRPr="00E63DD5">
        <w:rPr>
          <w:rFonts w:ascii="Source Sans Pro" w:hAnsi="Source Sans Pro" w:cs="Tahoma"/>
          <w:b/>
          <w:sz w:val="24"/>
          <w:szCs w:val="24"/>
          <w:lang w:val="en-GB"/>
        </w:rPr>
        <w:tab/>
      </w:r>
      <w:r w:rsidR="00AB462E" w:rsidRPr="00E63DD5">
        <w:rPr>
          <w:rFonts w:ascii="Source Sans Pro" w:hAnsi="Source Sans Pro" w:cs="Tahoma"/>
          <w:b/>
          <w:sz w:val="24"/>
          <w:szCs w:val="24"/>
          <w:lang w:val="en-GB"/>
        </w:rPr>
        <w:tab/>
      </w:r>
      <w:r w:rsidR="00AB462E" w:rsidRPr="00E63DD5">
        <w:rPr>
          <w:rFonts w:ascii="Source Sans Pro" w:hAnsi="Source Sans Pro" w:cs="Tahoma"/>
          <w:b/>
          <w:sz w:val="24"/>
          <w:szCs w:val="24"/>
          <w:lang w:val="en-GB"/>
        </w:rPr>
        <w:tab/>
      </w:r>
      <w:r w:rsidR="00AB462E" w:rsidRPr="00E63DD5">
        <w:rPr>
          <w:rFonts w:ascii="Source Sans Pro" w:hAnsi="Source Sans Pro" w:cs="Tahoma"/>
          <w:b/>
          <w:sz w:val="24"/>
          <w:szCs w:val="24"/>
          <w:lang w:val="en-GB"/>
        </w:rPr>
        <w:tab/>
      </w:r>
      <w:r w:rsidR="00AB462E" w:rsidRPr="00E63DD5">
        <w:rPr>
          <w:rFonts w:ascii="Source Sans Pro" w:hAnsi="Source Sans Pro" w:cs="Tahoma"/>
          <w:b/>
          <w:sz w:val="24"/>
          <w:szCs w:val="24"/>
          <w:lang w:val="en-GB"/>
        </w:rPr>
        <w:tab/>
        <w:t>8</w:t>
      </w:r>
    </w:p>
    <w:p w14:paraId="030F7872" w14:textId="77777777" w:rsidR="00EB3C50" w:rsidRPr="00E63DD5" w:rsidRDefault="00EB3C50" w:rsidP="00A47819">
      <w:pPr>
        <w:rPr>
          <w:rFonts w:ascii="Source Sans Pro" w:hAnsi="Source Sans Pro" w:cs="Tahoma"/>
          <w:b/>
          <w:sz w:val="24"/>
          <w:szCs w:val="24"/>
          <w:lang w:val="en-GB"/>
        </w:rPr>
      </w:pPr>
    </w:p>
    <w:p w14:paraId="038C6B9C" w14:textId="77777777" w:rsidR="00EB3C50" w:rsidRPr="00E63DD5" w:rsidRDefault="00FE2AAC" w:rsidP="00A47819">
      <w:pPr>
        <w:rPr>
          <w:rFonts w:ascii="Source Sans Pro" w:hAnsi="Source Sans Pro" w:cs="Tahoma"/>
          <w:b/>
          <w:sz w:val="24"/>
          <w:szCs w:val="24"/>
          <w:lang w:val="en-GB"/>
        </w:rPr>
      </w:pPr>
      <w:r w:rsidRPr="00E63DD5">
        <w:rPr>
          <w:rFonts w:ascii="Source Sans Pro" w:hAnsi="Source Sans Pro" w:cs="Tahoma"/>
          <w:b/>
          <w:sz w:val="24"/>
          <w:szCs w:val="24"/>
          <w:lang w:val="en-GB"/>
        </w:rPr>
        <w:t>Review of/ A</w:t>
      </w:r>
      <w:r w:rsidR="00B97B67" w:rsidRPr="00E63DD5">
        <w:rPr>
          <w:rFonts w:ascii="Source Sans Pro" w:hAnsi="Source Sans Pro" w:cs="Tahoma"/>
          <w:b/>
          <w:sz w:val="24"/>
          <w:szCs w:val="24"/>
          <w:lang w:val="en-GB"/>
        </w:rPr>
        <w:t xml:space="preserve">mendments </w:t>
      </w:r>
      <w:r w:rsidR="00D2282F" w:rsidRPr="00E63DD5">
        <w:rPr>
          <w:rFonts w:ascii="Source Sans Pro" w:hAnsi="Source Sans Pro" w:cs="Tahoma"/>
          <w:b/>
          <w:sz w:val="24"/>
          <w:szCs w:val="24"/>
          <w:lang w:val="en-GB"/>
        </w:rPr>
        <w:t xml:space="preserve">to </w:t>
      </w:r>
      <w:r w:rsidR="00B97B67" w:rsidRPr="00E63DD5">
        <w:rPr>
          <w:rFonts w:ascii="Source Sans Pro" w:hAnsi="Source Sans Pro" w:cs="Tahoma"/>
          <w:b/>
          <w:sz w:val="24"/>
          <w:szCs w:val="24"/>
          <w:lang w:val="en-GB"/>
        </w:rPr>
        <w:t xml:space="preserve">the Allocation Scheme         </w:t>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r>
      <w:r w:rsidR="0086237D" w:rsidRPr="00E63DD5">
        <w:rPr>
          <w:rFonts w:ascii="Source Sans Pro" w:hAnsi="Source Sans Pro" w:cs="Tahoma"/>
          <w:b/>
          <w:sz w:val="24"/>
          <w:szCs w:val="24"/>
          <w:lang w:val="en-GB"/>
        </w:rPr>
        <w:tab/>
        <w:t>9</w:t>
      </w:r>
    </w:p>
    <w:p w14:paraId="3D08EA02" w14:textId="77777777" w:rsidR="00EB3C50" w:rsidRPr="00E63DD5" w:rsidRDefault="00EB3C50" w:rsidP="00A47819">
      <w:pPr>
        <w:rPr>
          <w:rFonts w:ascii="Source Sans Pro" w:hAnsi="Source Sans Pro" w:cs="Tahoma"/>
          <w:b/>
          <w:sz w:val="24"/>
          <w:szCs w:val="24"/>
          <w:lang w:val="en-GB"/>
        </w:rPr>
      </w:pPr>
    </w:p>
    <w:p w14:paraId="1A063140" w14:textId="77777777" w:rsidR="00EB3C50" w:rsidRPr="00E63DD5" w:rsidRDefault="00EB3C50" w:rsidP="00A47819">
      <w:pPr>
        <w:rPr>
          <w:rFonts w:ascii="Source Sans Pro" w:hAnsi="Source Sans Pro" w:cs="Tahoma"/>
          <w:b/>
          <w:sz w:val="24"/>
          <w:szCs w:val="24"/>
          <w:lang w:val="en-GB"/>
        </w:rPr>
      </w:pPr>
    </w:p>
    <w:p w14:paraId="7A9C2955" w14:textId="77777777" w:rsidR="00C7722C" w:rsidRPr="00E63DD5" w:rsidRDefault="00C7722C" w:rsidP="00A47819">
      <w:pPr>
        <w:rPr>
          <w:rFonts w:ascii="Source Sans Pro" w:hAnsi="Source Sans Pro" w:cs="Tahoma"/>
          <w:b/>
          <w:sz w:val="24"/>
          <w:szCs w:val="24"/>
          <w:lang w:val="en-GB"/>
        </w:rPr>
      </w:pPr>
    </w:p>
    <w:p w14:paraId="53EA8DDA" w14:textId="77777777" w:rsidR="00C7722C" w:rsidRPr="00E63DD5" w:rsidRDefault="00C7722C" w:rsidP="00A47819">
      <w:pPr>
        <w:rPr>
          <w:rFonts w:ascii="Source Sans Pro" w:hAnsi="Source Sans Pro" w:cs="Tahoma"/>
          <w:b/>
          <w:sz w:val="24"/>
          <w:szCs w:val="24"/>
          <w:lang w:val="en-GB"/>
        </w:rPr>
      </w:pPr>
    </w:p>
    <w:p w14:paraId="6850B44B" w14:textId="77777777" w:rsidR="00C7722C" w:rsidRPr="00E63DD5" w:rsidRDefault="00C7722C" w:rsidP="00A47819">
      <w:pPr>
        <w:rPr>
          <w:rFonts w:ascii="Source Sans Pro" w:hAnsi="Source Sans Pro" w:cs="Tahoma"/>
          <w:b/>
          <w:sz w:val="24"/>
          <w:szCs w:val="24"/>
          <w:lang w:val="en-GB"/>
        </w:rPr>
      </w:pPr>
    </w:p>
    <w:p w14:paraId="7B2181C0" w14:textId="77777777" w:rsidR="00C7722C" w:rsidRPr="00E63DD5" w:rsidRDefault="00C7722C" w:rsidP="00A47819">
      <w:pPr>
        <w:rPr>
          <w:rFonts w:ascii="Source Sans Pro" w:hAnsi="Source Sans Pro" w:cs="Tahoma"/>
          <w:b/>
          <w:sz w:val="24"/>
          <w:szCs w:val="24"/>
          <w:lang w:val="en-GB"/>
        </w:rPr>
      </w:pPr>
    </w:p>
    <w:p w14:paraId="4F7BA127" w14:textId="77777777" w:rsidR="00C7722C" w:rsidRPr="00E63DD5" w:rsidRDefault="00C7722C" w:rsidP="00A47819">
      <w:pPr>
        <w:rPr>
          <w:rFonts w:ascii="Source Sans Pro" w:hAnsi="Source Sans Pro" w:cs="Tahoma"/>
          <w:b/>
          <w:sz w:val="24"/>
          <w:szCs w:val="24"/>
          <w:lang w:val="en-GB"/>
        </w:rPr>
      </w:pPr>
    </w:p>
    <w:p w14:paraId="54E23F7E" w14:textId="77777777" w:rsidR="00C7722C" w:rsidRPr="00E63DD5" w:rsidRDefault="00C7722C" w:rsidP="00A47819">
      <w:pPr>
        <w:rPr>
          <w:rFonts w:ascii="Source Sans Pro" w:hAnsi="Source Sans Pro" w:cs="Tahoma"/>
          <w:b/>
          <w:sz w:val="24"/>
          <w:szCs w:val="24"/>
          <w:lang w:val="en-GB"/>
        </w:rPr>
      </w:pPr>
    </w:p>
    <w:p w14:paraId="06AA94F3" w14:textId="77777777" w:rsidR="00C7722C" w:rsidRPr="00E63DD5" w:rsidRDefault="00C7722C" w:rsidP="00A47819">
      <w:pPr>
        <w:rPr>
          <w:rFonts w:ascii="Source Sans Pro" w:hAnsi="Source Sans Pro" w:cs="Tahoma"/>
          <w:b/>
          <w:sz w:val="24"/>
          <w:szCs w:val="24"/>
          <w:lang w:val="en-GB"/>
        </w:rPr>
      </w:pPr>
    </w:p>
    <w:p w14:paraId="5920EF64" w14:textId="77777777" w:rsidR="00C7722C" w:rsidRPr="00E63DD5" w:rsidRDefault="00C7722C" w:rsidP="00A47819">
      <w:pPr>
        <w:rPr>
          <w:rFonts w:ascii="Source Sans Pro" w:hAnsi="Source Sans Pro" w:cs="Tahoma"/>
          <w:b/>
          <w:sz w:val="24"/>
          <w:szCs w:val="24"/>
          <w:lang w:val="en-GB"/>
        </w:rPr>
      </w:pPr>
    </w:p>
    <w:p w14:paraId="5F8CA33F" w14:textId="77777777" w:rsidR="00C7722C" w:rsidRPr="00E63DD5" w:rsidRDefault="00C7722C" w:rsidP="00A47819">
      <w:pPr>
        <w:rPr>
          <w:rFonts w:ascii="Source Sans Pro" w:hAnsi="Source Sans Pro" w:cs="Tahoma"/>
          <w:b/>
          <w:sz w:val="24"/>
          <w:szCs w:val="24"/>
          <w:lang w:val="en-GB"/>
        </w:rPr>
      </w:pPr>
    </w:p>
    <w:p w14:paraId="315F9283" w14:textId="77777777" w:rsidR="002979EB" w:rsidRPr="00E63DD5" w:rsidRDefault="002979EB" w:rsidP="00A47819">
      <w:pPr>
        <w:rPr>
          <w:rFonts w:ascii="Source Sans Pro" w:hAnsi="Source Sans Pro" w:cs="Tahoma"/>
          <w:b/>
          <w:sz w:val="24"/>
          <w:szCs w:val="24"/>
          <w:lang w:val="en-GB"/>
        </w:rPr>
      </w:pPr>
    </w:p>
    <w:p w14:paraId="3A847146" w14:textId="77777777" w:rsidR="00FF48BC" w:rsidRPr="00E63DD5" w:rsidRDefault="00FF48BC" w:rsidP="00A47819">
      <w:pPr>
        <w:rPr>
          <w:rFonts w:ascii="Source Sans Pro" w:hAnsi="Source Sans Pro" w:cs="Tahoma"/>
          <w:b/>
          <w:sz w:val="24"/>
          <w:szCs w:val="24"/>
          <w:lang w:val="en-GB"/>
        </w:rPr>
      </w:pPr>
    </w:p>
    <w:p w14:paraId="05FA616D" w14:textId="77777777" w:rsidR="002979EB" w:rsidRPr="00E63DD5" w:rsidRDefault="002979EB" w:rsidP="00A47819">
      <w:pPr>
        <w:rPr>
          <w:rFonts w:ascii="Source Sans Pro" w:hAnsi="Source Sans Pro" w:cs="Tahoma"/>
          <w:b/>
          <w:sz w:val="24"/>
          <w:szCs w:val="24"/>
          <w:lang w:val="en-GB"/>
        </w:rPr>
      </w:pPr>
    </w:p>
    <w:p w14:paraId="717841A6" w14:textId="77777777" w:rsidR="00C7722C" w:rsidRPr="00E63DD5" w:rsidRDefault="00C7722C" w:rsidP="00A47819">
      <w:pPr>
        <w:rPr>
          <w:rFonts w:ascii="Source Sans Pro" w:hAnsi="Source Sans Pro" w:cs="Tahoma"/>
          <w:b/>
          <w:sz w:val="24"/>
          <w:szCs w:val="24"/>
          <w:lang w:val="en-GB"/>
        </w:rPr>
      </w:pPr>
    </w:p>
    <w:p w14:paraId="2D7B8035" w14:textId="77777777" w:rsidR="00C7722C" w:rsidRPr="00E63DD5" w:rsidRDefault="00C7722C" w:rsidP="00A47819">
      <w:pPr>
        <w:rPr>
          <w:rFonts w:ascii="Source Sans Pro" w:hAnsi="Source Sans Pro" w:cs="Tahoma"/>
          <w:b/>
          <w:sz w:val="24"/>
          <w:szCs w:val="24"/>
          <w:lang w:val="en-GB"/>
        </w:rPr>
      </w:pPr>
    </w:p>
    <w:p w14:paraId="75F23151" w14:textId="77777777" w:rsidR="00A47819" w:rsidRPr="00E63DD5" w:rsidRDefault="00FF48BC" w:rsidP="00FF48BC">
      <w:pPr>
        <w:rPr>
          <w:rFonts w:ascii="Source Sans Pro" w:hAnsi="Source Sans Pro" w:cs="Tahoma"/>
          <w:b/>
          <w:sz w:val="24"/>
          <w:szCs w:val="24"/>
          <w:lang w:val="en-GB"/>
        </w:rPr>
      </w:pPr>
      <w:r w:rsidRPr="00E63DD5">
        <w:rPr>
          <w:rFonts w:ascii="Source Sans Pro" w:hAnsi="Source Sans Pro" w:cs="Tahoma"/>
          <w:b/>
          <w:sz w:val="24"/>
          <w:szCs w:val="24"/>
          <w:lang w:val="en-GB"/>
        </w:rPr>
        <w:t xml:space="preserve">(A) </w:t>
      </w:r>
      <w:r w:rsidR="00A47819" w:rsidRPr="00E63DD5">
        <w:rPr>
          <w:rFonts w:ascii="Source Sans Pro" w:hAnsi="Source Sans Pro" w:cs="Tahoma"/>
          <w:b/>
          <w:sz w:val="24"/>
          <w:szCs w:val="24"/>
          <w:lang w:val="en-GB"/>
        </w:rPr>
        <w:t>Introduction</w:t>
      </w:r>
      <w:r w:rsidR="00461549" w:rsidRPr="00E63DD5">
        <w:rPr>
          <w:rFonts w:ascii="Source Sans Pro" w:hAnsi="Source Sans Pro" w:cs="Tahoma"/>
          <w:b/>
          <w:sz w:val="24"/>
          <w:szCs w:val="24"/>
          <w:lang w:val="en-GB"/>
        </w:rPr>
        <w:t xml:space="preserve"> – Purpose of the Scheme </w:t>
      </w:r>
    </w:p>
    <w:p w14:paraId="675AD5E0" w14:textId="77777777" w:rsidR="00461549" w:rsidRPr="00E63DD5" w:rsidRDefault="00461549" w:rsidP="00461549">
      <w:pPr>
        <w:rPr>
          <w:rFonts w:ascii="Source Sans Pro" w:hAnsi="Source Sans Pro" w:cs="Tahoma"/>
          <w:sz w:val="24"/>
          <w:szCs w:val="24"/>
          <w:lang w:val="en-GB"/>
        </w:rPr>
      </w:pPr>
      <w:r w:rsidRPr="00E63DD5">
        <w:rPr>
          <w:rFonts w:ascii="Source Sans Pro" w:hAnsi="Source Sans Pro" w:cs="Tahoma"/>
          <w:sz w:val="24"/>
          <w:szCs w:val="24"/>
          <w:lang w:val="en-GB"/>
        </w:rPr>
        <w:t>The purpose of the Allocation Scheme is to provide a means of determining the order of priority to be accorded in the allocation of dwellings to:</w:t>
      </w:r>
    </w:p>
    <w:p w14:paraId="22CBF07B" w14:textId="77777777" w:rsidR="002979EB" w:rsidRPr="00E63DD5" w:rsidRDefault="002979EB" w:rsidP="00461549">
      <w:pPr>
        <w:rPr>
          <w:rFonts w:ascii="Source Sans Pro" w:hAnsi="Source Sans Pro" w:cs="Tahoma"/>
          <w:sz w:val="24"/>
          <w:szCs w:val="24"/>
          <w:lang w:val="en-GB"/>
        </w:rPr>
      </w:pPr>
    </w:p>
    <w:p w14:paraId="04D56D10" w14:textId="77777777" w:rsidR="00461549" w:rsidRPr="00E63DD5" w:rsidRDefault="00461549" w:rsidP="00461549">
      <w:pPr>
        <w:numPr>
          <w:ilvl w:val="0"/>
          <w:numId w:val="29"/>
        </w:numPr>
        <w:tabs>
          <w:tab w:val="clear" w:pos="1500"/>
          <w:tab w:val="num" w:pos="720"/>
        </w:tabs>
        <w:ind w:left="720" w:hanging="720"/>
        <w:rPr>
          <w:rFonts w:ascii="Source Sans Pro" w:hAnsi="Source Sans Pro" w:cs="Tahoma"/>
          <w:sz w:val="24"/>
          <w:szCs w:val="24"/>
          <w:lang w:val="en-GB"/>
        </w:rPr>
      </w:pPr>
      <w:r w:rsidRPr="00E63DD5">
        <w:rPr>
          <w:rFonts w:ascii="Source Sans Pro" w:hAnsi="Source Sans Pro" w:cs="Tahoma"/>
          <w:sz w:val="24"/>
          <w:szCs w:val="24"/>
          <w:lang w:val="en-GB"/>
        </w:rPr>
        <w:t>persons assessed as being qualified for social housing support in accordance with Section 20 of the Housing (Miscellaneous Provisions) Act, 2009 (and associated regulations</w:t>
      </w:r>
      <w:proofErr w:type="gramStart"/>
      <w:r w:rsidRPr="00E63DD5">
        <w:rPr>
          <w:rFonts w:ascii="Source Sans Pro" w:hAnsi="Source Sans Pro" w:cs="Tahoma"/>
          <w:sz w:val="24"/>
          <w:szCs w:val="24"/>
          <w:lang w:val="en-GB"/>
        </w:rPr>
        <w:t>);</w:t>
      </w:r>
      <w:proofErr w:type="gramEnd"/>
    </w:p>
    <w:p w14:paraId="0AC5B224" w14:textId="77777777" w:rsidR="00461549" w:rsidRPr="00E63DD5" w:rsidRDefault="00461549" w:rsidP="00461549">
      <w:pPr>
        <w:numPr>
          <w:ilvl w:val="0"/>
          <w:numId w:val="29"/>
        </w:numPr>
        <w:tabs>
          <w:tab w:val="clear" w:pos="1500"/>
          <w:tab w:val="num" w:pos="720"/>
        </w:tabs>
        <w:ind w:left="720" w:hanging="720"/>
        <w:rPr>
          <w:rFonts w:ascii="Source Sans Pro" w:hAnsi="Source Sans Pro" w:cs="Tahoma"/>
          <w:sz w:val="24"/>
          <w:szCs w:val="24"/>
          <w:lang w:val="en-GB"/>
        </w:rPr>
      </w:pPr>
      <w:r w:rsidRPr="00E63DD5">
        <w:rPr>
          <w:rFonts w:ascii="Source Sans Pro" w:hAnsi="Source Sans Pro" w:cs="Tahoma"/>
          <w:sz w:val="24"/>
          <w:szCs w:val="24"/>
          <w:lang w:val="en-GB"/>
        </w:rPr>
        <w:t xml:space="preserve">persons transferring from a dwelling, including from a dwelling provided under the Social Housing Leasing Initiative or the Rental Accommodation Scheme </w:t>
      </w:r>
      <w:r w:rsidR="00681F9B" w:rsidRPr="00E63DD5">
        <w:rPr>
          <w:rFonts w:ascii="Source Sans Pro" w:hAnsi="Source Sans Pro" w:cs="Tahoma"/>
          <w:sz w:val="24"/>
          <w:szCs w:val="24"/>
          <w:lang w:val="en-GB"/>
        </w:rPr>
        <w:t xml:space="preserve">(RAS) </w:t>
      </w:r>
      <w:r w:rsidRPr="00E63DD5">
        <w:rPr>
          <w:rFonts w:ascii="Source Sans Pro" w:hAnsi="Source Sans Pro" w:cs="Tahoma"/>
          <w:b/>
          <w:sz w:val="24"/>
          <w:szCs w:val="24"/>
          <w:u w:val="single"/>
          <w:lang w:val="en-GB"/>
        </w:rPr>
        <w:t>and</w:t>
      </w:r>
      <w:r w:rsidRPr="00E63DD5">
        <w:rPr>
          <w:rFonts w:ascii="Source Sans Pro" w:hAnsi="Source Sans Pro" w:cs="Tahoma"/>
          <w:sz w:val="24"/>
          <w:szCs w:val="24"/>
          <w:lang w:val="en-GB"/>
        </w:rPr>
        <w:t>, including transfers to new dwellings being purchased under the Incremental Purchase Scheme.</w:t>
      </w:r>
    </w:p>
    <w:p w14:paraId="5D4FD2D0" w14:textId="77777777" w:rsidR="00461549" w:rsidRPr="00E63DD5" w:rsidRDefault="00461549" w:rsidP="00A47819">
      <w:pPr>
        <w:rPr>
          <w:rFonts w:ascii="Source Sans Pro" w:hAnsi="Source Sans Pro" w:cs="Tahoma"/>
          <w:b/>
          <w:sz w:val="24"/>
          <w:szCs w:val="24"/>
          <w:lang w:val="en-GB"/>
        </w:rPr>
      </w:pPr>
    </w:p>
    <w:p w14:paraId="5A575731" w14:textId="77777777" w:rsidR="00461549" w:rsidRPr="00E63DD5" w:rsidRDefault="00D53EAD" w:rsidP="00BC4C54">
      <w:pPr>
        <w:rPr>
          <w:rFonts w:ascii="Source Sans Pro" w:hAnsi="Source Sans Pro" w:cs="Tahoma"/>
          <w:b/>
          <w:sz w:val="24"/>
          <w:szCs w:val="24"/>
          <w:lang w:val="en-GB"/>
        </w:rPr>
      </w:pPr>
      <w:r w:rsidRPr="00E63DD5">
        <w:rPr>
          <w:rFonts w:ascii="Source Sans Pro" w:hAnsi="Source Sans Pro" w:cs="Tahoma"/>
          <w:b/>
          <w:sz w:val="24"/>
          <w:szCs w:val="24"/>
          <w:lang w:val="en-GB"/>
        </w:rPr>
        <w:t>T</w:t>
      </w:r>
      <w:r w:rsidR="00461549" w:rsidRPr="00E63DD5">
        <w:rPr>
          <w:rFonts w:ascii="Source Sans Pro" w:hAnsi="Source Sans Pro" w:cs="Tahoma"/>
          <w:b/>
          <w:sz w:val="24"/>
          <w:szCs w:val="24"/>
          <w:lang w:val="en-GB"/>
        </w:rPr>
        <w:t xml:space="preserve">his allocation scheme applies to - </w:t>
      </w:r>
    </w:p>
    <w:p w14:paraId="63B8E6A3" w14:textId="77777777" w:rsidR="00FE2AAC" w:rsidRPr="00E63DD5" w:rsidRDefault="00461549" w:rsidP="00FE2AAC">
      <w:pPr>
        <w:rPr>
          <w:rFonts w:ascii="Source Sans Pro" w:hAnsi="Source Sans Pro" w:cs="Tahoma"/>
          <w:sz w:val="24"/>
          <w:szCs w:val="24"/>
          <w:lang w:val="en-GB"/>
        </w:rPr>
      </w:pPr>
      <w:r w:rsidRPr="00E63DD5">
        <w:rPr>
          <w:rFonts w:ascii="Source Sans Pro" w:hAnsi="Source Sans Pro" w:cs="Tahoma"/>
          <w:sz w:val="24"/>
          <w:szCs w:val="24"/>
          <w:lang w:val="en-GB"/>
        </w:rPr>
        <w:t>Dwellings provided under the Housing Acts 1966 to 2009 or Part V of the Planning and Development Act 2000 –</w:t>
      </w:r>
    </w:p>
    <w:p w14:paraId="4774F460" w14:textId="77777777" w:rsidR="00FE2AAC" w:rsidRPr="00E63DD5" w:rsidRDefault="00FE2AAC" w:rsidP="00FE2AAC">
      <w:pPr>
        <w:rPr>
          <w:rFonts w:ascii="Source Sans Pro" w:hAnsi="Source Sans Pro" w:cs="Tahoma"/>
          <w:sz w:val="24"/>
          <w:szCs w:val="24"/>
          <w:lang w:val="en-GB"/>
        </w:rPr>
      </w:pPr>
    </w:p>
    <w:p w14:paraId="6CCFD5B2" w14:textId="77777777" w:rsidR="006C5A91" w:rsidRPr="00E63DD5" w:rsidRDefault="00461549" w:rsidP="00FE2AAC">
      <w:pPr>
        <w:pStyle w:val="ListParagraph"/>
        <w:numPr>
          <w:ilvl w:val="0"/>
          <w:numId w:val="49"/>
        </w:numPr>
        <w:rPr>
          <w:rFonts w:ascii="Source Sans Pro" w:hAnsi="Source Sans Pro" w:cs="Tahoma"/>
          <w:b/>
          <w:i/>
          <w:sz w:val="24"/>
          <w:szCs w:val="24"/>
          <w:u w:val="single"/>
          <w:lang w:val="en-GB"/>
        </w:rPr>
      </w:pPr>
      <w:r w:rsidRPr="00E63DD5">
        <w:rPr>
          <w:rFonts w:ascii="Source Sans Pro" w:hAnsi="Source Sans Pro" w:cs="Tahoma"/>
          <w:sz w:val="24"/>
          <w:szCs w:val="24"/>
          <w:lang w:val="en-GB"/>
        </w:rPr>
        <w:t xml:space="preserve">of which the housing authority (Leitrim County Council) is the owner,    </w:t>
      </w:r>
    </w:p>
    <w:p w14:paraId="7C461129" w14:textId="77777777" w:rsidR="00461549" w:rsidRPr="00E63DD5" w:rsidRDefault="00461549" w:rsidP="006C5A91">
      <w:pPr>
        <w:rPr>
          <w:rFonts w:ascii="Source Sans Pro" w:hAnsi="Source Sans Pro" w:cs="Tahoma"/>
          <w:b/>
          <w:i/>
          <w:sz w:val="24"/>
          <w:szCs w:val="24"/>
          <w:u w:val="single"/>
          <w:lang w:val="en-GB"/>
        </w:rPr>
      </w:pPr>
      <w:r w:rsidRPr="00E63DD5">
        <w:rPr>
          <w:rFonts w:ascii="Source Sans Pro" w:hAnsi="Source Sans Pro" w:cs="Tahoma"/>
          <w:sz w:val="24"/>
          <w:szCs w:val="24"/>
          <w:lang w:val="en-GB"/>
        </w:rPr>
        <w:t xml:space="preserve">                          </w:t>
      </w:r>
      <w:r w:rsidRPr="00E63DD5">
        <w:rPr>
          <w:rFonts w:ascii="Source Sans Pro" w:hAnsi="Source Sans Pro" w:cs="Tahoma"/>
          <w:b/>
          <w:i/>
          <w:sz w:val="24"/>
          <w:szCs w:val="24"/>
          <w:u w:val="single"/>
          <w:lang w:val="en-GB"/>
        </w:rPr>
        <w:t>or</w:t>
      </w:r>
    </w:p>
    <w:p w14:paraId="270D49B5" w14:textId="77777777" w:rsidR="00FE2AAC" w:rsidRPr="00E63DD5" w:rsidRDefault="00FE2AAC" w:rsidP="006C5A91">
      <w:pPr>
        <w:rPr>
          <w:rFonts w:ascii="Source Sans Pro" w:hAnsi="Source Sans Pro" w:cs="Tahoma"/>
          <w:b/>
          <w:i/>
          <w:sz w:val="24"/>
          <w:szCs w:val="24"/>
          <w:u w:val="single"/>
          <w:lang w:val="en-GB"/>
        </w:rPr>
      </w:pPr>
    </w:p>
    <w:p w14:paraId="43D16950" w14:textId="77777777" w:rsidR="00461549" w:rsidRPr="00E63DD5" w:rsidRDefault="00461549" w:rsidP="00FE2AAC">
      <w:pPr>
        <w:pStyle w:val="ListParagraph"/>
        <w:numPr>
          <w:ilvl w:val="0"/>
          <w:numId w:val="49"/>
        </w:numPr>
        <w:rPr>
          <w:rFonts w:ascii="Source Sans Pro" w:hAnsi="Source Sans Pro" w:cs="Tahoma"/>
          <w:sz w:val="24"/>
          <w:szCs w:val="24"/>
          <w:lang w:val="en-GB"/>
        </w:rPr>
      </w:pPr>
      <w:r w:rsidRPr="00E63DD5">
        <w:rPr>
          <w:rFonts w:ascii="Source Sans Pro" w:hAnsi="Source Sans Pro" w:cs="Tahoma"/>
          <w:sz w:val="24"/>
          <w:szCs w:val="24"/>
          <w:lang w:val="en-GB"/>
        </w:rPr>
        <w:t xml:space="preserve">of which the housing authority is not the </w:t>
      </w:r>
      <w:proofErr w:type="gramStart"/>
      <w:r w:rsidRPr="00E63DD5">
        <w:rPr>
          <w:rFonts w:ascii="Source Sans Pro" w:hAnsi="Source Sans Pro" w:cs="Tahoma"/>
          <w:sz w:val="24"/>
          <w:szCs w:val="24"/>
          <w:lang w:val="en-GB"/>
        </w:rPr>
        <w:t>owner</w:t>
      </w:r>
      <w:proofErr w:type="gramEnd"/>
      <w:r w:rsidRPr="00E63DD5">
        <w:rPr>
          <w:rFonts w:ascii="Source Sans Pro" w:hAnsi="Source Sans Pro" w:cs="Tahoma"/>
          <w:sz w:val="24"/>
          <w:szCs w:val="24"/>
          <w:lang w:val="en-GB"/>
        </w:rPr>
        <w:t xml:space="preserve"> and which are provided under a contract or lease between the housing authority and the owner concerned, including rental accommodation availability agreements, </w:t>
      </w:r>
    </w:p>
    <w:p w14:paraId="53C2039E" w14:textId="77777777" w:rsidR="00461549" w:rsidRPr="00E63DD5" w:rsidRDefault="00461549" w:rsidP="00461549">
      <w:pPr>
        <w:jc w:val="center"/>
        <w:rPr>
          <w:rFonts w:ascii="Source Sans Pro" w:hAnsi="Source Sans Pro" w:cs="Tahoma"/>
          <w:b/>
          <w:i/>
          <w:sz w:val="24"/>
          <w:szCs w:val="24"/>
          <w:u w:val="single"/>
          <w:lang w:val="en-GB"/>
        </w:rPr>
      </w:pPr>
      <w:r w:rsidRPr="00E63DD5">
        <w:rPr>
          <w:rFonts w:ascii="Source Sans Pro" w:hAnsi="Source Sans Pro" w:cs="Tahoma"/>
          <w:b/>
          <w:i/>
          <w:sz w:val="24"/>
          <w:szCs w:val="24"/>
          <w:u w:val="single"/>
          <w:lang w:val="en-GB"/>
        </w:rPr>
        <w:t>and</w:t>
      </w:r>
    </w:p>
    <w:p w14:paraId="5511B145" w14:textId="77777777" w:rsidR="00461549" w:rsidRPr="00E63DD5" w:rsidRDefault="00461549" w:rsidP="00461549">
      <w:pPr>
        <w:numPr>
          <w:ilvl w:val="0"/>
          <w:numId w:val="30"/>
        </w:numPr>
        <w:ind w:left="0" w:firstLine="0"/>
        <w:rPr>
          <w:rFonts w:ascii="Source Sans Pro" w:hAnsi="Source Sans Pro" w:cs="Tahoma"/>
          <w:sz w:val="24"/>
          <w:szCs w:val="24"/>
          <w:lang w:val="en-GB"/>
        </w:rPr>
      </w:pPr>
      <w:r w:rsidRPr="00E63DD5">
        <w:rPr>
          <w:rFonts w:ascii="Source Sans Pro" w:hAnsi="Source Sans Pro" w:cs="Tahoma"/>
          <w:sz w:val="24"/>
          <w:szCs w:val="24"/>
          <w:lang w:val="en-GB"/>
        </w:rPr>
        <w:t>dwellings owned and provided by Approved Housing Bodies (AHBs) to whom assistance is given under section 6 of the Housing Act 1992 for the purposes of such provision.</w:t>
      </w:r>
    </w:p>
    <w:p w14:paraId="22CA7AFC" w14:textId="77777777" w:rsidR="0041344C" w:rsidRPr="00E63DD5" w:rsidRDefault="0041344C" w:rsidP="000E0D33">
      <w:pPr>
        <w:rPr>
          <w:rFonts w:ascii="Source Sans Pro" w:hAnsi="Source Sans Pro" w:cs="Tahoma"/>
          <w:b/>
          <w:sz w:val="24"/>
          <w:szCs w:val="24"/>
          <w:lang w:val="en-GB"/>
        </w:rPr>
      </w:pPr>
    </w:p>
    <w:p w14:paraId="4CDCE3FF" w14:textId="77777777" w:rsidR="00BC4C54" w:rsidRPr="00E63DD5" w:rsidRDefault="00BC4C54" w:rsidP="00BC4C54">
      <w:pPr>
        <w:pStyle w:val="Heading1"/>
        <w:numPr>
          <w:ilvl w:val="0"/>
          <w:numId w:val="0"/>
        </w:numPr>
        <w:tabs>
          <w:tab w:val="left" w:pos="-540"/>
        </w:tabs>
        <w:spacing w:line="240" w:lineRule="auto"/>
        <w:ind w:left="-540"/>
        <w:rPr>
          <w:rFonts w:ascii="Source Sans Pro" w:hAnsi="Source Sans Pro" w:cs="Tahoma"/>
          <w:b w:val="0"/>
          <w:sz w:val="24"/>
          <w:szCs w:val="24"/>
        </w:rPr>
      </w:pPr>
      <w:r w:rsidRPr="00E63DD5">
        <w:rPr>
          <w:rFonts w:ascii="Source Sans Pro" w:hAnsi="Source Sans Pro" w:cs="Tahoma"/>
          <w:color w:val="auto"/>
          <w:sz w:val="24"/>
          <w:szCs w:val="24"/>
          <w:lang w:val="ga-IE"/>
        </w:rPr>
        <w:tab/>
        <w:t>(B)</w:t>
      </w:r>
      <w:r w:rsidRPr="00E63DD5">
        <w:rPr>
          <w:rFonts w:ascii="Source Sans Pro" w:hAnsi="Source Sans Pro" w:cs="Tahoma"/>
          <w:color w:val="auto"/>
          <w:sz w:val="24"/>
          <w:szCs w:val="24"/>
          <w:lang w:val="ga-IE"/>
        </w:rPr>
        <w:tab/>
        <w:t xml:space="preserve">The manner in which dwellings are allocated </w:t>
      </w:r>
    </w:p>
    <w:p w14:paraId="51238E4B" w14:textId="77777777" w:rsidR="00BC4C54" w:rsidRPr="00E63DD5" w:rsidRDefault="00BC4C54" w:rsidP="00BC4C54">
      <w:pPr>
        <w:rPr>
          <w:rFonts w:ascii="Source Sans Pro" w:hAnsi="Source Sans Pro" w:cs="Tahoma"/>
          <w:sz w:val="24"/>
          <w:szCs w:val="24"/>
          <w:lang w:val="en-IE"/>
        </w:rPr>
      </w:pPr>
      <w:r w:rsidRPr="00E63DD5">
        <w:rPr>
          <w:rFonts w:ascii="Source Sans Pro" w:hAnsi="Source Sans Pro" w:cs="Tahoma"/>
          <w:sz w:val="24"/>
          <w:szCs w:val="24"/>
          <w:lang w:val="en-IE"/>
        </w:rPr>
        <w:t xml:space="preserve">The </w:t>
      </w:r>
      <w:proofErr w:type="gramStart"/>
      <w:r w:rsidRPr="00E63DD5">
        <w:rPr>
          <w:rFonts w:ascii="Source Sans Pro" w:hAnsi="Source Sans Pro" w:cs="Tahoma"/>
          <w:sz w:val="24"/>
          <w:szCs w:val="24"/>
          <w:lang w:val="en-IE"/>
        </w:rPr>
        <w:t>manner in which</w:t>
      </w:r>
      <w:proofErr w:type="gramEnd"/>
      <w:r w:rsidRPr="00E63DD5">
        <w:rPr>
          <w:rFonts w:ascii="Source Sans Pro" w:hAnsi="Source Sans Pro" w:cs="Tahoma"/>
          <w:sz w:val="24"/>
          <w:szCs w:val="24"/>
          <w:lang w:val="en-IE"/>
        </w:rPr>
        <w:t xml:space="preserve"> Leitrim County</w:t>
      </w:r>
      <w:r w:rsidRPr="00E63DD5">
        <w:rPr>
          <w:rFonts w:ascii="Source Sans Pro" w:hAnsi="Source Sans Pro" w:cs="Tahoma"/>
          <w:color w:val="FF0000"/>
          <w:sz w:val="24"/>
          <w:szCs w:val="24"/>
          <w:lang w:val="en-IE"/>
        </w:rPr>
        <w:t xml:space="preserve"> </w:t>
      </w:r>
      <w:r w:rsidRPr="00E63DD5">
        <w:rPr>
          <w:rFonts w:ascii="Source Sans Pro" w:hAnsi="Source Sans Pro" w:cs="Tahoma"/>
          <w:sz w:val="24"/>
          <w:szCs w:val="24"/>
          <w:lang w:val="en-IE"/>
        </w:rPr>
        <w:t>Council (hereinafter called the housing authority) will allocate dwellings, or different categories of dwellings, to households referred to in Section 22(3) of the Act of 2009, or to different classes of households, shall have regard to the order of priority as set out in (c) to (h) hereunder.</w:t>
      </w:r>
    </w:p>
    <w:p w14:paraId="5C16B939" w14:textId="77777777" w:rsidR="00BC4C54" w:rsidRPr="00E63DD5" w:rsidRDefault="00BC4C54" w:rsidP="000E0D33">
      <w:pPr>
        <w:rPr>
          <w:rFonts w:ascii="Source Sans Pro" w:hAnsi="Source Sans Pro" w:cs="Tahoma"/>
          <w:b/>
          <w:sz w:val="24"/>
          <w:szCs w:val="24"/>
          <w:lang w:val="en-GB"/>
        </w:rPr>
      </w:pPr>
    </w:p>
    <w:p w14:paraId="6ECCA1B6" w14:textId="77777777" w:rsidR="000E0D33" w:rsidRPr="00E63DD5" w:rsidRDefault="0041344C" w:rsidP="000E0D33">
      <w:pPr>
        <w:rPr>
          <w:rFonts w:ascii="Source Sans Pro" w:hAnsi="Source Sans Pro" w:cs="Tahoma"/>
          <w:b/>
          <w:sz w:val="24"/>
          <w:szCs w:val="24"/>
          <w:u w:val="single"/>
        </w:rPr>
      </w:pPr>
      <w:r w:rsidRPr="00E63DD5">
        <w:rPr>
          <w:rFonts w:ascii="Source Sans Pro" w:hAnsi="Source Sans Pro" w:cs="Tahoma"/>
          <w:b/>
          <w:sz w:val="24"/>
          <w:szCs w:val="24"/>
          <w:lang w:val="en-GB"/>
        </w:rPr>
        <w:t xml:space="preserve">(C) </w:t>
      </w:r>
      <w:r w:rsidR="007A2A12" w:rsidRPr="00E63DD5">
        <w:rPr>
          <w:rFonts w:ascii="Source Sans Pro" w:hAnsi="Source Sans Pro" w:cs="Tahoma"/>
          <w:b/>
          <w:sz w:val="24"/>
          <w:szCs w:val="24"/>
          <w:lang w:val="en-GB"/>
        </w:rPr>
        <w:tab/>
      </w:r>
      <w:r w:rsidR="00A963C6" w:rsidRPr="00E63DD5">
        <w:rPr>
          <w:rFonts w:ascii="Source Sans Pro" w:hAnsi="Source Sans Pro" w:cs="Tahoma"/>
          <w:b/>
          <w:sz w:val="24"/>
          <w:szCs w:val="24"/>
        </w:rPr>
        <w:t>Order of Priority</w:t>
      </w:r>
      <w:r w:rsidR="00A963C6" w:rsidRPr="00E63DD5">
        <w:rPr>
          <w:rFonts w:ascii="Source Sans Pro" w:hAnsi="Source Sans Pro" w:cs="Tahoma"/>
          <w:b/>
          <w:sz w:val="24"/>
          <w:szCs w:val="24"/>
          <w:u w:val="single"/>
        </w:rPr>
        <w:t xml:space="preserve"> </w:t>
      </w:r>
    </w:p>
    <w:p w14:paraId="3B64B36F" w14:textId="77777777" w:rsidR="00CC3D71" w:rsidRPr="00E63DD5" w:rsidRDefault="00491A55" w:rsidP="000E0D33">
      <w:pPr>
        <w:rPr>
          <w:rFonts w:ascii="Source Sans Pro" w:hAnsi="Source Sans Pro" w:cs="Tahoma"/>
          <w:sz w:val="24"/>
          <w:szCs w:val="24"/>
        </w:rPr>
      </w:pPr>
      <w:r w:rsidRPr="00E63DD5">
        <w:rPr>
          <w:rFonts w:ascii="Source Sans Pro" w:hAnsi="Source Sans Pro" w:cs="Tahoma"/>
          <w:sz w:val="24"/>
          <w:szCs w:val="24"/>
        </w:rPr>
        <w:t>In the making of an allocation, the following priorities shall appl</w:t>
      </w:r>
      <w:r w:rsidR="009546D9" w:rsidRPr="00E63DD5">
        <w:rPr>
          <w:rFonts w:ascii="Source Sans Pro" w:hAnsi="Source Sans Pro" w:cs="Tahoma"/>
          <w:sz w:val="24"/>
          <w:szCs w:val="24"/>
        </w:rPr>
        <w:t xml:space="preserve">y in order as set out hereunder: </w:t>
      </w:r>
    </w:p>
    <w:p w14:paraId="21448DF5" w14:textId="77777777" w:rsidR="00491A55" w:rsidRPr="00E63DD5" w:rsidRDefault="00491A55" w:rsidP="00491A55">
      <w:pPr>
        <w:pStyle w:val="ListParagraph"/>
        <w:numPr>
          <w:ilvl w:val="0"/>
          <w:numId w:val="32"/>
        </w:numPr>
        <w:rPr>
          <w:rFonts w:ascii="Source Sans Pro" w:hAnsi="Source Sans Pro" w:cs="Tahoma"/>
          <w:sz w:val="24"/>
          <w:szCs w:val="24"/>
        </w:rPr>
      </w:pPr>
      <w:r w:rsidRPr="00E63DD5">
        <w:rPr>
          <w:rFonts w:ascii="Source Sans Pro" w:hAnsi="Source Sans Pro" w:cs="Tahoma"/>
          <w:sz w:val="24"/>
          <w:szCs w:val="24"/>
        </w:rPr>
        <w:t>Applicants living in dwellings deemed to be dangerous as defined in Section 3 of the</w:t>
      </w:r>
      <w:r w:rsidR="00BC4C54" w:rsidRPr="00E63DD5">
        <w:rPr>
          <w:rFonts w:ascii="Source Sans Pro" w:hAnsi="Source Sans Pro" w:cs="Tahoma"/>
          <w:sz w:val="24"/>
          <w:szCs w:val="24"/>
        </w:rPr>
        <w:t xml:space="preserve"> Local Government </w:t>
      </w:r>
      <w:r w:rsidRPr="00E63DD5">
        <w:rPr>
          <w:rFonts w:ascii="Source Sans Pro" w:hAnsi="Source Sans Pro" w:cs="Tahoma"/>
          <w:sz w:val="24"/>
          <w:szCs w:val="24"/>
        </w:rPr>
        <w:t>Sanitary Service</w:t>
      </w:r>
      <w:r w:rsidR="00681F9B" w:rsidRPr="00E63DD5">
        <w:rPr>
          <w:rFonts w:ascii="Source Sans Pro" w:hAnsi="Source Sans Pro" w:cs="Tahoma"/>
          <w:sz w:val="24"/>
          <w:szCs w:val="24"/>
        </w:rPr>
        <w:t>s</w:t>
      </w:r>
      <w:r w:rsidRPr="00E63DD5">
        <w:rPr>
          <w:rFonts w:ascii="Source Sans Pro" w:hAnsi="Source Sans Pro" w:cs="Tahoma"/>
          <w:sz w:val="24"/>
          <w:szCs w:val="24"/>
        </w:rPr>
        <w:t xml:space="preserve"> Act, 1964 or being displaced by the operation of a local authority.</w:t>
      </w:r>
    </w:p>
    <w:p w14:paraId="5E06A14E" w14:textId="77777777" w:rsidR="00491A55" w:rsidRPr="00E63DD5" w:rsidRDefault="00491A55" w:rsidP="00491A55">
      <w:pPr>
        <w:pStyle w:val="ListParagraph"/>
        <w:numPr>
          <w:ilvl w:val="0"/>
          <w:numId w:val="32"/>
        </w:numPr>
        <w:rPr>
          <w:rFonts w:ascii="Source Sans Pro" w:hAnsi="Source Sans Pro" w:cs="Tahoma"/>
          <w:sz w:val="24"/>
          <w:szCs w:val="24"/>
        </w:rPr>
      </w:pPr>
      <w:r w:rsidRPr="00E63DD5">
        <w:rPr>
          <w:rFonts w:ascii="Source Sans Pro" w:hAnsi="Source Sans Pro" w:cs="Tahoma"/>
          <w:sz w:val="24"/>
          <w:szCs w:val="24"/>
        </w:rPr>
        <w:t>Applicants deemed to be homeless under Section 2 of the Housing Act, 1988.</w:t>
      </w:r>
    </w:p>
    <w:p w14:paraId="3F671B1B" w14:textId="77777777" w:rsidR="00491A55" w:rsidRPr="00E63DD5" w:rsidRDefault="00491A55" w:rsidP="00491A55">
      <w:pPr>
        <w:pStyle w:val="ListParagraph"/>
        <w:numPr>
          <w:ilvl w:val="0"/>
          <w:numId w:val="32"/>
        </w:numPr>
        <w:rPr>
          <w:rFonts w:ascii="Source Sans Pro" w:hAnsi="Source Sans Pro" w:cs="Tahoma"/>
          <w:sz w:val="24"/>
          <w:szCs w:val="24"/>
        </w:rPr>
      </w:pPr>
      <w:r w:rsidRPr="00E63DD5">
        <w:rPr>
          <w:rFonts w:ascii="Source Sans Pro" w:hAnsi="Source Sans Pro" w:cs="Tahoma"/>
          <w:sz w:val="24"/>
          <w:szCs w:val="24"/>
        </w:rPr>
        <w:lastRenderedPageBreak/>
        <w:t>Applicants living in unfit conditions as defined in Section of the Housing Act, 1966</w:t>
      </w:r>
    </w:p>
    <w:p w14:paraId="7187B89E" w14:textId="77777777" w:rsidR="00491A55" w:rsidRPr="00E63DD5" w:rsidRDefault="00491A55" w:rsidP="00491A55">
      <w:pPr>
        <w:pStyle w:val="ListParagraph"/>
        <w:numPr>
          <w:ilvl w:val="0"/>
          <w:numId w:val="32"/>
        </w:numPr>
        <w:rPr>
          <w:rFonts w:ascii="Source Sans Pro" w:hAnsi="Source Sans Pro" w:cs="Tahoma"/>
          <w:sz w:val="24"/>
          <w:szCs w:val="24"/>
        </w:rPr>
      </w:pPr>
      <w:r w:rsidRPr="00E63DD5">
        <w:rPr>
          <w:rFonts w:ascii="Source Sans Pro" w:hAnsi="Source Sans Pro" w:cs="Tahoma"/>
          <w:sz w:val="24"/>
          <w:szCs w:val="24"/>
        </w:rPr>
        <w:t>Applicants living in overcrowded conditions as defined in Section 63 of the Housing Act, 1966</w:t>
      </w:r>
    </w:p>
    <w:p w14:paraId="7EC26F1E" w14:textId="77777777" w:rsidR="00491A55" w:rsidRPr="00E63DD5" w:rsidRDefault="00491A55" w:rsidP="00491A55">
      <w:pPr>
        <w:pStyle w:val="ListParagraph"/>
        <w:numPr>
          <w:ilvl w:val="0"/>
          <w:numId w:val="32"/>
        </w:numPr>
        <w:rPr>
          <w:rFonts w:ascii="Source Sans Pro" w:hAnsi="Source Sans Pro" w:cs="Tahoma"/>
          <w:sz w:val="24"/>
          <w:szCs w:val="24"/>
        </w:rPr>
      </w:pPr>
      <w:r w:rsidRPr="00E63DD5">
        <w:rPr>
          <w:rFonts w:ascii="Source Sans Pro" w:hAnsi="Source Sans Pro" w:cs="Tahoma"/>
          <w:sz w:val="24"/>
          <w:szCs w:val="24"/>
        </w:rPr>
        <w:t xml:space="preserve">Applicants in need of housing on disability, medical, </w:t>
      </w:r>
      <w:proofErr w:type="gramStart"/>
      <w:r w:rsidRPr="00E63DD5">
        <w:rPr>
          <w:rFonts w:ascii="Source Sans Pro" w:hAnsi="Source Sans Pro" w:cs="Tahoma"/>
          <w:sz w:val="24"/>
          <w:szCs w:val="24"/>
        </w:rPr>
        <w:t>compassionate</w:t>
      </w:r>
      <w:proofErr w:type="gramEnd"/>
      <w:r w:rsidRPr="00E63DD5">
        <w:rPr>
          <w:rFonts w:ascii="Source Sans Pro" w:hAnsi="Source Sans Pro" w:cs="Tahoma"/>
          <w:sz w:val="24"/>
          <w:szCs w:val="24"/>
        </w:rPr>
        <w:t xml:space="preserve"> or other similar grounds. </w:t>
      </w:r>
    </w:p>
    <w:p w14:paraId="042DDD7E" w14:textId="77777777" w:rsidR="00491A55" w:rsidRPr="00E63DD5" w:rsidRDefault="00491A55" w:rsidP="00491A55">
      <w:pPr>
        <w:pStyle w:val="ListParagraph"/>
        <w:numPr>
          <w:ilvl w:val="0"/>
          <w:numId w:val="32"/>
        </w:numPr>
        <w:rPr>
          <w:rFonts w:ascii="Source Sans Pro" w:hAnsi="Source Sans Pro" w:cs="Tahoma"/>
          <w:sz w:val="24"/>
          <w:szCs w:val="24"/>
        </w:rPr>
      </w:pPr>
      <w:r w:rsidRPr="00E63DD5">
        <w:rPr>
          <w:rFonts w:ascii="Source Sans Pro" w:hAnsi="Source Sans Pro" w:cs="Tahoma"/>
          <w:sz w:val="24"/>
          <w:szCs w:val="24"/>
        </w:rPr>
        <w:t xml:space="preserve">Elderly applicants in need of housing where elderly </w:t>
      </w:r>
      <w:proofErr w:type="gramStart"/>
      <w:r w:rsidRPr="00E63DD5">
        <w:rPr>
          <w:rFonts w:ascii="Source Sans Pro" w:hAnsi="Source Sans Pro" w:cs="Tahoma"/>
          <w:sz w:val="24"/>
          <w:szCs w:val="24"/>
        </w:rPr>
        <w:t>is</w:t>
      </w:r>
      <w:proofErr w:type="gramEnd"/>
      <w:r w:rsidRPr="00E63DD5">
        <w:rPr>
          <w:rFonts w:ascii="Source Sans Pro" w:hAnsi="Source Sans Pro" w:cs="Tahoma"/>
          <w:sz w:val="24"/>
          <w:szCs w:val="24"/>
        </w:rPr>
        <w:t xml:space="preserve"> defined as 60 years</w:t>
      </w:r>
      <w:r w:rsidR="009546D9" w:rsidRPr="00E63DD5">
        <w:rPr>
          <w:rFonts w:ascii="Source Sans Pro" w:hAnsi="Source Sans Pro" w:cs="Tahoma"/>
          <w:sz w:val="24"/>
          <w:szCs w:val="24"/>
        </w:rPr>
        <w:t xml:space="preserve"> of </w:t>
      </w:r>
      <w:r w:rsidR="00D53EAD" w:rsidRPr="00E63DD5">
        <w:rPr>
          <w:rFonts w:ascii="Source Sans Pro" w:hAnsi="Source Sans Pro" w:cs="Tahoma"/>
          <w:sz w:val="24"/>
          <w:szCs w:val="24"/>
        </w:rPr>
        <w:t>age or</w:t>
      </w:r>
      <w:r w:rsidRPr="00E63DD5">
        <w:rPr>
          <w:rFonts w:ascii="Source Sans Pro" w:hAnsi="Source Sans Pro" w:cs="Tahoma"/>
          <w:sz w:val="24"/>
          <w:szCs w:val="24"/>
        </w:rPr>
        <w:t xml:space="preserve"> older and where such applicants are assessed and approved for social housing supports. </w:t>
      </w:r>
    </w:p>
    <w:p w14:paraId="6E96ED88" w14:textId="77777777" w:rsidR="00491A55" w:rsidRPr="00E63DD5" w:rsidRDefault="00491A55" w:rsidP="00491A55">
      <w:pPr>
        <w:pStyle w:val="ListParagraph"/>
        <w:numPr>
          <w:ilvl w:val="0"/>
          <w:numId w:val="32"/>
        </w:numPr>
        <w:rPr>
          <w:rFonts w:ascii="Source Sans Pro" w:hAnsi="Source Sans Pro" w:cs="Tahoma"/>
          <w:sz w:val="24"/>
          <w:szCs w:val="24"/>
        </w:rPr>
      </w:pPr>
      <w:r w:rsidRPr="00E63DD5">
        <w:rPr>
          <w:rFonts w:ascii="Source Sans Pro" w:hAnsi="Source Sans Pro" w:cs="Tahoma"/>
          <w:sz w:val="24"/>
          <w:szCs w:val="24"/>
        </w:rPr>
        <w:t xml:space="preserve">Applicants not included in any other specific category above, who have been assessed and approved for social housing </w:t>
      </w:r>
      <w:proofErr w:type="gramStart"/>
      <w:r w:rsidRPr="00E63DD5">
        <w:rPr>
          <w:rFonts w:ascii="Source Sans Pro" w:hAnsi="Source Sans Pro" w:cs="Tahoma"/>
          <w:sz w:val="24"/>
          <w:szCs w:val="24"/>
        </w:rPr>
        <w:t>supports</w:t>
      </w:r>
      <w:proofErr w:type="gramEnd"/>
      <w:r w:rsidRPr="00E63DD5">
        <w:rPr>
          <w:rFonts w:ascii="Source Sans Pro" w:hAnsi="Source Sans Pro" w:cs="Tahoma"/>
          <w:sz w:val="24"/>
          <w:szCs w:val="24"/>
        </w:rPr>
        <w:t xml:space="preserve">. </w:t>
      </w:r>
    </w:p>
    <w:p w14:paraId="2F23748A" w14:textId="77777777" w:rsidR="00491A55" w:rsidRPr="00E63DD5" w:rsidRDefault="00491A55" w:rsidP="000E0D33">
      <w:pPr>
        <w:rPr>
          <w:rFonts w:ascii="Source Sans Pro" w:hAnsi="Source Sans Pro" w:cs="Tahoma"/>
          <w:sz w:val="24"/>
          <w:szCs w:val="24"/>
        </w:rPr>
      </w:pPr>
    </w:p>
    <w:p w14:paraId="7E3AAEF7" w14:textId="77777777" w:rsidR="00DB5996" w:rsidRPr="00E63DD5" w:rsidRDefault="00DB5996" w:rsidP="000E0D33">
      <w:pPr>
        <w:rPr>
          <w:rFonts w:ascii="Source Sans Pro" w:hAnsi="Source Sans Pro" w:cs="Tahoma"/>
          <w:b/>
          <w:sz w:val="24"/>
          <w:szCs w:val="24"/>
        </w:rPr>
      </w:pPr>
      <w:r w:rsidRPr="00E63DD5">
        <w:rPr>
          <w:rFonts w:ascii="Source Sans Pro" w:hAnsi="Source Sans Pro" w:cs="Tahoma"/>
          <w:b/>
          <w:sz w:val="24"/>
          <w:szCs w:val="24"/>
        </w:rPr>
        <w:t xml:space="preserve">‘Time on List’ </w:t>
      </w:r>
    </w:p>
    <w:p w14:paraId="2C573BF5" w14:textId="77777777" w:rsidR="0041344C" w:rsidRPr="00E63DD5" w:rsidRDefault="0041344C" w:rsidP="000E0D33">
      <w:pPr>
        <w:rPr>
          <w:rFonts w:ascii="Source Sans Pro" w:hAnsi="Source Sans Pro" w:cs="Tahoma"/>
          <w:sz w:val="24"/>
          <w:szCs w:val="24"/>
        </w:rPr>
      </w:pPr>
      <w:r w:rsidRPr="00E63DD5">
        <w:rPr>
          <w:rFonts w:ascii="Source Sans Pro" w:hAnsi="Source Sans Pro" w:cs="Tahoma"/>
          <w:sz w:val="24"/>
          <w:szCs w:val="24"/>
        </w:rPr>
        <w:t xml:space="preserve">Whilst allocations will be made in accordance with the above order of priority, where </w:t>
      </w:r>
      <w:proofErr w:type="gramStart"/>
      <w:r w:rsidRPr="00E63DD5">
        <w:rPr>
          <w:rFonts w:ascii="Source Sans Pro" w:hAnsi="Source Sans Pro" w:cs="Tahoma"/>
          <w:sz w:val="24"/>
          <w:szCs w:val="24"/>
        </w:rPr>
        <w:t>a number of</w:t>
      </w:r>
      <w:proofErr w:type="gramEnd"/>
      <w:r w:rsidRPr="00E63DD5">
        <w:rPr>
          <w:rFonts w:ascii="Source Sans Pro" w:hAnsi="Source Sans Pro" w:cs="Tahoma"/>
          <w:sz w:val="24"/>
          <w:szCs w:val="24"/>
        </w:rPr>
        <w:t xml:space="preserve"> applicants fall within the same category, regard shall be had to the length of time that has elapsed since the applicant qualified for inclusion as a qualified applicant</w:t>
      </w:r>
      <w:r w:rsidR="00FE2AAC" w:rsidRPr="00E63DD5">
        <w:rPr>
          <w:rFonts w:ascii="Source Sans Pro" w:hAnsi="Source Sans Pro" w:cs="Tahoma"/>
          <w:sz w:val="24"/>
          <w:szCs w:val="24"/>
        </w:rPr>
        <w:t xml:space="preserve"> for housing by the housing a</w:t>
      </w:r>
      <w:r w:rsidR="00681F9B" w:rsidRPr="00E63DD5">
        <w:rPr>
          <w:rFonts w:ascii="Source Sans Pro" w:hAnsi="Source Sans Pro" w:cs="Tahoma"/>
          <w:sz w:val="24"/>
          <w:szCs w:val="24"/>
        </w:rPr>
        <w:t>uthority</w:t>
      </w:r>
      <w:r w:rsidRPr="00E63DD5">
        <w:rPr>
          <w:rFonts w:ascii="Source Sans Pro" w:hAnsi="Source Sans Pro" w:cs="Tahoma"/>
          <w:sz w:val="24"/>
          <w:szCs w:val="24"/>
        </w:rPr>
        <w:t xml:space="preserve">. </w:t>
      </w:r>
      <w:r w:rsidR="00BC4C54" w:rsidRPr="00E63DD5">
        <w:rPr>
          <w:rFonts w:ascii="Source Sans Pro" w:hAnsi="Source Sans Pro" w:cs="Tahoma"/>
          <w:sz w:val="24"/>
          <w:szCs w:val="24"/>
        </w:rPr>
        <w:t xml:space="preserve">All allocations shall be subject to Section </w:t>
      </w:r>
      <w:r w:rsidR="00681F9B" w:rsidRPr="00E63DD5">
        <w:rPr>
          <w:rFonts w:ascii="Source Sans Pro" w:hAnsi="Source Sans Pro" w:cs="Tahoma"/>
          <w:sz w:val="24"/>
          <w:szCs w:val="24"/>
        </w:rPr>
        <w:t>I</w:t>
      </w:r>
      <w:r w:rsidR="00BC4C54" w:rsidRPr="00E63DD5">
        <w:rPr>
          <w:rFonts w:ascii="Source Sans Pro" w:hAnsi="Source Sans Pro" w:cs="Tahoma"/>
          <w:sz w:val="24"/>
          <w:szCs w:val="24"/>
        </w:rPr>
        <w:t xml:space="preserve"> (II)</w:t>
      </w:r>
      <w:r w:rsidR="00681F9B" w:rsidRPr="00E63DD5">
        <w:rPr>
          <w:rFonts w:ascii="Source Sans Pro" w:hAnsi="Source Sans Pro" w:cs="Tahoma"/>
          <w:sz w:val="24"/>
          <w:szCs w:val="24"/>
        </w:rPr>
        <w:t xml:space="preserve"> hereunder</w:t>
      </w:r>
      <w:r w:rsidR="00BC4C54" w:rsidRPr="00E63DD5">
        <w:rPr>
          <w:rFonts w:ascii="Source Sans Pro" w:hAnsi="Source Sans Pro" w:cs="Tahoma"/>
          <w:sz w:val="24"/>
          <w:szCs w:val="24"/>
        </w:rPr>
        <w:t xml:space="preserve">. </w:t>
      </w:r>
    </w:p>
    <w:p w14:paraId="29A3F428" w14:textId="77777777" w:rsidR="002B3AB4" w:rsidRPr="00E63DD5" w:rsidRDefault="002B3AB4" w:rsidP="0041344C">
      <w:pPr>
        <w:rPr>
          <w:rFonts w:ascii="Source Sans Pro" w:hAnsi="Source Sans Pro" w:cs="Tahoma"/>
          <w:sz w:val="24"/>
          <w:szCs w:val="24"/>
        </w:rPr>
      </w:pPr>
    </w:p>
    <w:p w14:paraId="11DA6752" w14:textId="77777777" w:rsidR="002B3AB4" w:rsidRPr="00E63DD5" w:rsidRDefault="00BC4C54" w:rsidP="00BC4C54">
      <w:pPr>
        <w:rPr>
          <w:rFonts w:ascii="Source Sans Pro" w:hAnsi="Source Sans Pro" w:cs="Tahoma"/>
          <w:b/>
          <w:sz w:val="24"/>
          <w:szCs w:val="24"/>
        </w:rPr>
      </w:pPr>
      <w:r w:rsidRPr="00E63DD5">
        <w:rPr>
          <w:rFonts w:ascii="Source Sans Pro" w:hAnsi="Source Sans Pro" w:cs="Tahoma"/>
          <w:b/>
          <w:sz w:val="24"/>
          <w:szCs w:val="24"/>
        </w:rPr>
        <w:t xml:space="preserve">(D) </w:t>
      </w:r>
      <w:r w:rsidR="002B3AB4" w:rsidRPr="00E63DD5">
        <w:rPr>
          <w:rFonts w:ascii="Source Sans Pro" w:hAnsi="Source Sans Pro" w:cs="Tahoma"/>
          <w:b/>
          <w:sz w:val="24"/>
          <w:szCs w:val="24"/>
        </w:rPr>
        <w:t xml:space="preserve">Reviewing Eligibility for Social Housing Supports  </w:t>
      </w:r>
    </w:p>
    <w:p w14:paraId="02BA5E87" w14:textId="77777777" w:rsidR="00BC4C54" w:rsidRPr="00E63DD5" w:rsidRDefault="002B3AB4" w:rsidP="00BC4C54">
      <w:pPr>
        <w:rPr>
          <w:rFonts w:ascii="Source Sans Pro" w:hAnsi="Source Sans Pro" w:cs="Tahoma"/>
          <w:sz w:val="24"/>
          <w:szCs w:val="24"/>
        </w:rPr>
      </w:pPr>
      <w:r w:rsidRPr="00E63DD5">
        <w:rPr>
          <w:rFonts w:ascii="Source Sans Pro" w:hAnsi="Source Sans Pro" w:cs="Tahoma"/>
          <w:sz w:val="24"/>
          <w:szCs w:val="24"/>
        </w:rPr>
        <w:t xml:space="preserve">Applicants must be eligible for, and in need of, social housing support at the point of allocation of that support.  </w:t>
      </w:r>
      <w:r w:rsidR="002368FF" w:rsidRPr="00E63DD5">
        <w:rPr>
          <w:rFonts w:ascii="Source Sans Pro" w:hAnsi="Source Sans Pro" w:cs="Tahoma"/>
          <w:sz w:val="24"/>
          <w:szCs w:val="24"/>
        </w:rPr>
        <w:t xml:space="preserve">Changing circumstances may result in a </w:t>
      </w:r>
      <w:r w:rsidRPr="00E63DD5">
        <w:rPr>
          <w:rFonts w:ascii="Source Sans Pro" w:hAnsi="Source Sans Pro" w:cs="Tahoma"/>
          <w:sz w:val="24"/>
          <w:szCs w:val="24"/>
        </w:rPr>
        <w:t>househo</w:t>
      </w:r>
      <w:r w:rsidR="00681F9B" w:rsidRPr="00E63DD5">
        <w:rPr>
          <w:rFonts w:ascii="Source Sans Pro" w:hAnsi="Source Sans Pro" w:cs="Tahoma"/>
          <w:sz w:val="24"/>
          <w:szCs w:val="24"/>
        </w:rPr>
        <w:t xml:space="preserve">ld becoming ineligible for social housing </w:t>
      </w:r>
      <w:r w:rsidRPr="00E63DD5">
        <w:rPr>
          <w:rFonts w:ascii="Source Sans Pro" w:hAnsi="Source Sans Pro" w:cs="Tahoma"/>
          <w:sz w:val="24"/>
          <w:szCs w:val="24"/>
        </w:rPr>
        <w:t xml:space="preserve">support. Taking into consideration the nature of the change in circumstances, </w:t>
      </w:r>
      <w:r w:rsidR="002368FF" w:rsidRPr="00E63DD5">
        <w:rPr>
          <w:rFonts w:ascii="Source Sans Pro" w:hAnsi="Source Sans Pro" w:cs="Tahoma"/>
          <w:sz w:val="24"/>
          <w:szCs w:val="24"/>
        </w:rPr>
        <w:t>the</w:t>
      </w:r>
      <w:r w:rsidRPr="00E63DD5">
        <w:rPr>
          <w:rFonts w:ascii="Source Sans Pro" w:hAnsi="Source Sans Pro" w:cs="Tahoma"/>
          <w:sz w:val="24"/>
          <w:szCs w:val="24"/>
        </w:rPr>
        <w:t xml:space="preserve"> Housing Authority may undertake a full review of the assessment to determine whether the applicant household remains qualified for social housing support. </w:t>
      </w:r>
      <w:r w:rsidR="00681F9B" w:rsidRPr="00E63DD5">
        <w:rPr>
          <w:rFonts w:ascii="Source Sans Pro" w:hAnsi="Source Sans Pro" w:cs="Tahoma"/>
          <w:sz w:val="24"/>
          <w:szCs w:val="24"/>
        </w:rPr>
        <w:t>Rent S</w:t>
      </w:r>
      <w:r w:rsidR="00BC4C54" w:rsidRPr="00E63DD5">
        <w:rPr>
          <w:rFonts w:ascii="Source Sans Pro" w:hAnsi="Source Sans Pro" w:cs="Tahoma"/>
          <w:sz w:val="24"/>
          <w:szCs w:val="24"/>
        </w:rPr>
        <w:t>upplement recipients must qualify for social housing support in the same way as other households seeking support.</w:t>
      </w:r>
    </w:p>
    <w:p w14:paraId="42C91B30" w14:textId="77777777" w:rsidR="00D01FCB" w:rsidRPr="00E63DD5" w:rsidRDefault="00D01FCB" w:rsidP="0041344C">
      <w:pPr>
        <w:rPr>
          <w:rFonts w:ascii="Source Sans Pro" w:hAnsi="Source Sans Pro" w:cs="Tahoma"/>
          <w:sz w:val="24"/>
          <w:szCs w:val="24"/>
        </w:rPr>
      </w:pPr>
    </w:p>
    <w:p w14:paraId="3824D87B" w14:textId="77777777" w:rsidR="0041344C" w:rsidRPr="00E63DD5" w:rsidRDefault="002B3AB4" w:rsidP="0041344C">
      <w:pPr>
        <w:rPr>
          <w:rFonts w:ascii="Source Sans Pro" w:hAnsi="Source Sans Pro" w:cs="Tahoma"/>
          <w:sz w:val="24"/>
          <w:szCs w:val="24"/>
        </w:rPr>
      </w:pPr>
      <w:r w:rsidRPr="00E63DD5">
        <w:rPr>
          <w:rFonts w:ascii="Source Sans Pro" w:hAnsi="Source Sans Pro" w:cs="Tahoma"/>
          <w:b/>
          <w:sz w:val="24"/>
          <w:szCs w:val="24"/>
        </w:rPr>
        <w:t>(E</w:t>
      </w:r>
      <w:r w:rsidR="0041344C" w:rsidRPr="00E63DD5">
        <w:rPr>
          <w:rFonts w:ascii="Source Sans Pro" w:hAnsi="Source Sans Pro" w:cs="Tahoma"/>
          <w:b/>
          <w:sz w:val="24"/>
          <w:szCs w:val="24"/>
        </w:rPr>
        <w:t xml:space="preserve">)  </w:t>
      </w:r>
      <w:r w:rsidR="00D01FCB" w:rsidRPr="00E63DD5">
        <w:rPr>
          <w:rFonts w:ascii="Source Sans Pro" w:hAnsi="Source Sans Pro" w:cs="Tahoma"/>
          <w:b/>
          <w:sz w:val="24"/>
          <w:szCs w:val="24"/>
        </w:rPr>
        <w:t>Ex</w:t>
      </w:r>
      <w:r w:rsidR="0041344C" w:rsidRPr="00E63DD5">
        <w:rPr>
          <w:rFonts w:ascii="Source Sans Pro" w:hAnsi="Source Sans Pro" w:cs="Tahoma"/>
          <w:b/>
          <w:sz w:val="24"/>
          <w:szCs w:val="24"/>
        </w:rPr>
        <w:t xml:space="preserve">ceptions </w:t>
      </w:r>
    </w:p>
    <w:p w14:paraId="7891C192" w14:textId="77777777" w:rsidR="00D96F5E" w:rsidRPr="00E63DD5" w:rsidRDefault="00D96F5E" w:rsidP="000E0D33">
      <w:pPr>
        <w:rPr>
          <w:rFonts w:ascii="Source Sans Pro" w:hAnsi="Source Sans Pro" w:cs="Tahoma"/>
          <w:sz w:val="24"/>
          <w:szCs w:val="24"/>
        </w:rPr>
      </w:pPr>
      <w:r w:rsidRPr="00E63DD5">
        <w:rPr>
          <w:rFonts w:ascii="Source Sans Pro" w:hAnsi="Source Sans Pro" w:cs="Tahoma"/>
          <w:sz w:val="24"/>
          <w:szCs w:val="24"/>
        </w:rPr>
        <w:t xml:space="preserve">In accordance with Section 20(8) of the 2009 </w:t>
      </w:r>
      <w:r w:rsidR="00BC4C54" w:rsidRPr="00E63DD5">
        <w:rPr>
          <w:rFonts w:ascii="Source Sans Pro" w:hAnsi="Source Sans Pro" w:cs="Tahoma"/>
          <w:sz w:val="24"/>
          <w:szCs w:val="24"/>
        </w:rPr>
        <w:t>Act,</w:t>
      </w:r>
      <w:r w:rsidR="00FE2AAC" w:rsidRPr="00E63DD5">
        <w:rPr>
          <w:rFonts w:ascii="Source Sans Pro" w:hAnsi="Source Sans Pro" w:cs="Tahoma"/>
          <w:sz w:val="24"/>
          <w:szCs w:val="24"/>
        </w:rPr>
        <w:t xml:space="preserve"> the h</w:t>
      </w:r>
      <w:r w:rsidR="00BC4C54" w:rsidRPr="00E63DD5">
        <w:rPr>
          <w:rFonts w:ascii="Source Sans Pro" w:hAnsi="Source Sans Pro" w:cs="Tahoma"/>
          <w:sz w:val="24"/>
          <w:szCs w:val="24"/>
        </w:rPr>
        <w:t xml:space="preserve">ousing </w:t>
      </w:r>
      <w:r w:rsidR="00FE2AAC" w:rsidRPr="00E63DD5">
        <w:rPr>
          <w:rFonts w:ascii="Source Sans Pro" w:hAnsi="Source Sans Pro" w:cs="Tahoma"/>
          <w:sz w:val="24"/>
          <w:szCs w:val="24"/>
        </w:rPr>
        <w:t>a</w:t>
      </w:r>
      <w:r w:rsidR="00BC4C54" w:rsidRPr="00E63DD5">
        <w:rPr>
          <w:rFonts w:ascii="Source Sans Pro" w:hAnsi="Source Sans Pro" w:cs="Tahoma"/>
          <w:sz w:val="24"/>
          <w:szCs w:val="24"/>
        </w:rPr>
        <w:t>uthority</w:t>
      </w:r>
      <w:r w:rsidR="00681F9B" w:rsidRPr="00E63DD5">
        <w:rPr>
          <w:rFonts w:ascii="Source Sans Pro" w:hAnsi="Source Sans Pro" w:cs="Tahoma"/>
          <w:sz w:val="24"/>
          <w:szCs w:val="24"/>
        </w:rPr>
        <w:t>, i</w:t>
      </w:r>
      <w:r w:rsidRPr="00E63DD5">
        <w:rPr>
          <w:rFonts w:ascii="Source Sans Pro" w:hAnsi="Source Sans Pro" w:cs="Tahoma"/>
          <w:sz w:val="24"/>
          <w:szCs w:val="24"/>
        </w:rPr>
        <w:t xml:space="preserve">n applying </w:t>
      </w:r>
      <w:r w:rsidR="00F02F64" w:rsidRPr="00E63DD5">
        <w:rPr>
          <w:rFonts w:ascii="Source Sans Pro" w:hAnsi="Source Sans Pro" w:cs="Tahoma"/>
          <w:sz w:val="24"/>
          <w:szCs w:val="24"/>
        </w:rPr>
        <w:t xml:space="preserve">the </w:t>
      </w:r>
      <w:r w:rsidRPr="00E63DD5">
        <w:rPr>
          <w:rFonts w:ascii="Source Sans Pro" w:hAnsi="Source Sans Pro" w:cs="Tahoma"/>
          <w:sz w:val="24"/>
          <w:szCs w:val="24"/>
        </w:rPr>
        <w:t xml:space="preserve">terms of this scheme to a person may disregard the accommodation that a household currently occupies where the housing authority has reason to believe that a household, or any member of it, has done something, or failed to do something, that has resulted in their accommodation now being less suitable to their housing need than it would formerly have been. </w:t>
      </w:r>
    </w:p>
    <w:p w14:paraId="0ABBE48B" w14:textId="77777777" w:rsidR="0041344C" w:rsidRPr="00E63DD5" w:rsidRDefault="0041344C" w:rsidP="000E0D33">
      <w:pPr>
        <w:rPr>
          <w:rFonts w:ascii="Source Sans Pro" w:hAnsi="Source Sans Pro" w:cs="Tahoma"/>
          <w:sz w:val="24"/>
          <w:szCs w:val="24"/>
        </w:rPr>
      </w:pPr>
    </w:p>
    <w:p w14:paraId="653B6E8D" w14:textId="77777777" w:rsidR="0041344C" w:rsidRPr="00E63DD5" w:rsidRDefault="0041344C" w:rsidP="000E0D33">
      <w:pPr>
        <w:rPr>
          <w:rFonts w:ascii="Source Sans Pro" w:hAnsi="Source Sans Pro" w:cs="Tahoma"/>
          <w:sz w:val="24"/>
          <w:szCs w:val="24"/>
        </w:rPr>
      </w:pPr>
      <w:r w:rsidRPr="00E63DD5">
        <w:rPr>
          <w:rFonts w:ascii="Source Sans Pro" w:hAnsi="Source Sans Pro" w:cs="Tahoma"/>
          <w:sz w:val="24"/>
          <w:szCs w:val="24"/>
        </w:rPr>
        <w:t xml:space="preserve">Notwithstanding anything in Section C above, the housing authority may disregard the order of priority given to a household under an allocation scheme where the household is being provided with social housing support in the following circumstances: </w:t>
      </w:r>
    </w:p>
    <w:p w14:paraId="340D110F" w14:textId="77777777" w:rsidR="0041344C" w:rsidRPr="00E63DD5" w:rsidRDefault="0041344C" w:rsidP="000E0D33">
      <w:pPr>
        <w:rPr>
          <w:rFonts w:ascii="Source Sans Pro" w:hAnsi="Source Sans Pro" w:cs="Tahoma"/>
          <w:sz w:val="24"/>
          <w:szCs w:val="24"/>
        </w:rPr>
      </w:pPr>
    </w:p>
    <w:p w14:paraId="74542D42" w14:textId="77777777" w:rsidR="0041344C" w:rsidRPr="00E63DD5" w:rsidRDefault="0041344C" w:rsidP="0041344C">
      <w:pPr>
        <w:pStyle w:val="ListParagraph"/>
        <w:numPr>
          <w:ilvl w:val="0"/>
          <w:numId w:val="36"/>
        </w:numPr>
        <w:rPr>
          <w:rFonts w:ascii="Source Sans Pro" w:hAnsi="Source Sans Pro" w:cs="Tahoma"/>
          <w:sz w:val="24"/>
          <w:szCs w:val="24"/>
        </w:rPr>
      </w:pPr>
      <w:r w:rsidRPr="00E63DD5">
        <w:rPr>
          <w:rFonts w:ascii="Source Sans Pro" w:hAnsi="Source Sans Pro" w:cs="Tahoma"/>
          <w:sz w:val="24"/>
          <w:szCs w:val="24"/>
        </w:rPr>
        <w:t xml:space="preserve">Persons in need of accommodation arising from </w:t>
      </w:r>
      <w:r w:rsidR="00D01FCB" w:rsidRPr="00E63DD5">
        <w:rPr>
          <w:rFonts w:ascii="Source Sans Pro" w:hAnsi="Source Sans Pro" w:cs="Tahoma"/>
          <w:sz w:val="24"/>
          <w:szCs w:val="24"/>
        </w:rPr>
        <w:t xml:space="preserve">specified emergency circumstances, including displacement by fire, flood or any other emergency, development, </w:t>
      </w:r>
      <w:proofErr w:type="gramStart"/>
      <w:r w:rsidR="00D01FCB" w:rsidRPr="00E63DD5">
        <w:rPr>
          <w:rFonts w:ascii="Source Sans Pro" w:hAnsi="Source Sans Pro" w:cs="Tahoma"/>
          <w:sz w:val="24"/>
          <w:szCs w:val="24"/>
        </w:rPr>
        <w:t>redevelopment</w:t>
      </w:r>
      <w:proofErr w:type="gramEnd"/>
      <w:r w:rsidR="00D01FCB" w:rsidRPr="00E63DD5">
        <w:rPr>
          <w:rFonts w:ascii="Source Sans Pro" w:hAnsi="Source Sans Pro" w:cs="Tahoma"/>
          <w:sz w:val="24"/>
          <w:szCs w:val="24"/>
        </w:rPr>
        <w:t xml:space="preserve"> or regeneration of any an area by a housing authority, or exceptional medical or compassionate grounds. </w:t>
      </w:r>
    </w:p>
    <w:p w14:paraId="5C5941C0" w14:textId="77777777" w:rsidR="009546D9" w:rsidRPr="00E63DD5" w:rsidRDefault="009546D9" w:rsidP="009546D9">
      <w:pPr>
        <w:pStyle w:val="ListParagraph"/>
        <w:rPr>
          <w:rFonts w:ascii="Source Sans Pro" w:hAnsi="Source Sans Pro" w:cs="Tahoma"/>
          <w:sz w:val="24"/>
          <w:szCs w:val="24"/>
        </w:rPr>
      </w:pPr>
    </w:p>
    <w:p w14:paraId="673C377E" w14:textId="77777777" w:rsidR="00D01FCB" w:rsidRPr="00E63DD5" w:rsidRDefault="00D01FCB" w:rsidP="0041344C">
      <w:pPr>
        <w:pStyle w:val="ListParagraph"/>
        <w:numPr>
          <w:ilvl w:val="0"/>
          <w:numId w:val="36"/>
        </w:numPr>
        <w:rPr>
          <w:rFonts w:ascii="Source Sans Pro" w:hAnsi="Source Sans Pro" w:cs="Tahoma"/>
          <w:sz w:val="24"/>
          <w:szCs w:val="24"/>
        </w:rPr>
      </w:pPr>
      <w:r w:rsidRPr="00E63DD5">
        <w:rPr>
          <w:rFonts w:ascii="Source Sans Pro" w:hAnsi="Source Sans Pro" w:cs="Tahoma"/>
          <w:sz w:val="24"/>
          <w:szCs w:val="24"/>
        </w:rPr>
        <w:t xml:space="preserve">In a dwelling let to the household under a Chapter 4 tenancy agreement having been assessed under Section 20(3), </w:t>
      </w:r>
      <w:r w:rsidR="00D53EAD" w:rsidRPr="00E63DD5">
        <w:rPr>
          <w:rFonts w:ascii="Source Sans Pro" w:hAnsi="Source Sans Pro" w:cs="Tahoma"/>
          <w:sz w:val="24"/>
          <w:szCs w:val="24"/>
        </w:rPr>
        <w:t>i.e.</w:t>
      </w:r>
      <w:r w:rsidRPr="00E63DD5">
        <w:rPr>
          <w:rFonts w:ascii="Source Sans Pro" w:hAnsi="Source Sans Pro" w:cs="Tahoma"/>
          <w:sz w:val="24"/>
          <w:szCs w:val="24"/>
        </w:rPr>
        <w:t xml:space="preserve"> RAS Accommodation. </w:t>
      </w:r>
    </w:p>
    <w:p w14:paraId="0C29C753" w14:textId="77777777" w:rsidR="004C61BB" w:rsidRPr="00E63DD5" w:rsidRDefault="004C61BB" w:rsidP="004C61BB">
      <w:pPr>
        <w:pStyle w:val="ListParagraph"/>
        <w:rPr>
          <w:rFonts w:ascii="Source Sans Pro" w:hAnsi="Source Sans Pro" w:cs="Tahoma"/>
          <w:sz w:val="24"/>
          <w:szCs w:val="24"/>
        </w:rPr>
      </w:pPr>
    </w:p>
    <w:p w14:paraId="39D079DE" w14:textId="77777777" w:rsidR="00BC4C54" w:rsidRPr="00E63DD5" w:rsidRDefault="00BC4C54" w:rsidP="00BC4C54">
      <w:pPr>
        <w:rPr>
          <w:rFonts w:ascii="Source Sans Pro" w:hAnsi="Source Sans Pro" w:cs="Tahoma"/>
          <w:sz w:val="24"/>
          <w:szCs w:val="24"/>
          <w:lang w:val="en-GB"/>
        </w:rPr>
      </w:pPr>
      <w:r w:rsidRPr="00E63DD5">
        <w:rPr>
          <w:rFonts w:ascii="Source Sans Pro" w:hAnsi="Source Sans Pro" w:cs="Tahoma"/>
          <w:sz w:val="24"/>
          <w:szCs w:val="24"/>
          <w:lang w:val="en-GB"/>
        </w:rPr>
        <w:t xml:space="preserve">In the allocation of </w:t>
      </w:r>
      <w:r w:rsidRPr="00E63DD5">
        <w:rPr>
          <w:rFonts w:ascii="Source Sans Pro" w:hAnsi="Source Sans Pro" w:cs="Tahoma"/>
          <w:sz w:val="24"/>
          <w:szCs w:val="24"/>
          <w:u w:val="single"/>
          <w:lang w:val="en-GB"/>
        </w:rPr>
        <w:t>RAS</w:t>
      </w:r>
      <w:r w:rsidRPr="00E63DD5">
        <w:rPr>
          <w:rFonts w:ascii="Source Sans Pro" w:hAnsi="Source Sans Pro" w:cs="Tahoma"/>
          <w:sz w:val="24"/>
          <w:szCs w:val="24"/>
          <w:lang w:val="en-GB"/>
        </w:rPr>
        <w:t xml:space="preserve"> accommodation, the </w:t>
      </w:r>
      <w:r w:rsidR="00FE2AAC" w:rsidRPr="00E63DD5">
        <w:rPr>
          <w:rFonts w:ascii="Source Sans Pro" w:hAnsi="Source Sans Pro" w:cs="Tahoma"/>
          <w:sz w:val="24"/>
          <w:szCs w:val="24"/>
          <w:lang w:val="en-GB"/>
        </w:rPr>
        <w:t>h</w:t>
      </w:r>
      <w:r w:rsidRPr="00E63DD5">
        <w:rPr>
          <w:rFonts w:ascii="Source Sans Pro" w:hAnsi="Source Sans Pro" w:cs="Tahoma"/>
          <w:sz w:val="24"/>
          <w:szCs w:val="24"/>
          <w:lang w:val="en-GB"/>
        </w:rPr>
        <w:t xml:space="preserve">ousing </w:t>
      </w:r>
      <w:r w:rsidR="00FE2AAC" w:rsidRPr="00E63DD5">
        <w:rPr>
          <w:rFonts w:ascii="Source Sans Pro" w:hAnsi="Source Sans Pro" w:cs="Tahoma"/>
          <w:sz w:val="24"/>
          <w:szCs w:val="24"/>
          <w:lang w:val="en-GB"/>
        </w:rPr>
        <w:t>a</w:t>
      </w:r>
      <w:r w:rsidRPr="00E63DD5">
        <w:rPr>
          <w:rFonts w:ascii="Source Sans Pro" w:hAnsi="Source Sans Pro" w:cs="Tahoma"/>
          <w:sz w:val="24"/>
          <w:szCs w:val="24"/>
          <w:lang w:val="en-GB"/>
        </w:rPr>
        <w:t>uthority will have regard to the length of time a household has been in receipt of rent supplement; the length of time a household has been on the waiting list for social housing support, or a combination of both; and will be subject to Section (I)</w:t>
      </w:r>
      <w:r w:rsidR="00681F9B" w:rsidRPr="00E63DD5">
        <w:rPr>
          <w:rFonts w:ascii="Source Sans Pro" w:hAnsi="Source Sans Pro" w:cs="Tahoma"/>
          <w:sz w:val="24"/>
          <w:szCs w:val="24"/>
          <w:lang w:val="en-GB"/>
        </w:rPr>
        <w:t xml:space="preserve"> (II)</w:t>
      </w:r>
      <w:r w:rsidRPr="00E63DD5">
        <w:rPr>
          <w:rFonts w:ascii="Source Sans Pro" w:hAnsi="Source Sans Pro" w:cs="Tahoma"/>
          <w:sz w:val="24"/>
          <w:szCs w:val="24"/>
          <w:lang w:val="en-GB"/>
        </w:rPr>
        <w:t xml:space="preserve"> hereunder. </w:t>
      </w:r>
    </w:p>
    <w:p w14:paraId="0DE014C4" w14:textId="77777777" w:rsidR="00D01FCB" w:rsidRPr="00E63DD5" w:rsidRDefault="00D01FCB" w:rsidP="00D01FCB">
      <w:pPr>
        <w:rPr>
          <w:rFonts w:ascii="Source Sans Pro" w:hAnsi="Source Sans Pro" w:cs="Tahoma"/>
          <w:sz w:val="24"/>
          <w:szCs w:val="24"/>
        </w:rPr>
      </w:pPr>
    </w:p>
    <w:p w14:paraId="688951E2" w14:textId="77777777" w:rsidR="00D1539A" w:rsidRPr="00E63DD5" w:rsidRDefault="00416028" w:rsidP="000E0D33">
      <w:pPr>
        <w:rPr>
          <w:rFonts w:ascii="Source Sans Pro" w:hAnsi="Source Sans Pro" w:cs="Tahoma"/>
          <w:b/>
          <w:sz w:val="24"/>
          <w:szCs w:val="24"/>
        </w:rPr>
      </w:pPr>
      <w:r w:rsidRPr="00E63DD5">
        <w:rPr>
          <w:rFonts w:ascii="Source Sans Pro" w:hAnsi="Source Sans Pro" w:cs="Tahoma"/>
          <w:b/>
          <w:sz w:val="24"/>
          <w:szCs w:val="24"/>
        </w:rPr>
        <w:t>(F</w:t>
      </w:r>
      <w:r w:rsidR="00D01FCB" w:rsidRPr="00E63DD5">
        <w:rPr>
          <w:rFonts w:ascii="Source Sans Pro" w:hAnsi="Source Sans Pro" w:cs="Tahoma"/>
          <w:b/>
          <w:sz w:val="24"/>
          <w:szCs w:val="24"/>
        </w:rPr>
        <w:t xml:space="preserve">) Medical Report </w:t>
      </w:r>
    </w:p>
    <w:p w14:paraId="77172B28" w14:textId="77777777" w:rsidR="002B3AB4" w:rsidRPr="00E63DD5" w:rsidRDefault="00D01FCB" w:rsidP="00D01FCB">
      <w:pPr>
        <w:autoSpaceDE w:val="0"/>
        <w:autoSpaceDN w:val="0"/>
        <w:adjustRightInd w:val="0"/>
        <w:rPr>
          <w:rFonts w:ascii="Source Sans Pro" w:hAnsi="Source Sans Pro" w:cs="Tahoma"/>
          <w:sz w:val="24"/>
          <w:szCs w:val="24"/>
          <w:lang w:val="en-GB"/>
        </w:rPr>
      </w:pPr>
      <w:r w:rsidRPr="00E63DD5">
        <w:rPr>
          <w:rFonts w:ascii="Source Sans Pro" w:hAnsi="Source Sans Pro" w:cs="Tahoma"/>
          <w:sz w:val="24"/>
          <w:szCs w:val="24"/>
          <w:lang w:val="en-GB"/>
        </w:rPr>
        <w:t xml:space="preserve">Where priority is claimed on Disability / Medical Grounds, the applicant shall submit a report from a Medical Practitioner detailing their disability/medical condition and how </w:t>
      </w:r>
      <w:proofErr w:type="gramStart"/>
      <w:r w:rsidRPr="00E63DD5">
        <w:rPr>
          <w:rFonts w:ascii="Source Sans Pro" w:hAnsi="Source Sans Pro" w:cs="Tahoma"/>
          <w:sz w:val="24"/>
          <w:szCs w:val="24"/>
          <w:lang w:val="en-GB"/>
        </w:rPr>
        <w:t>this impacts</w:t>
      </w:r>
      <w:proofErr w:type="gramEnd"/>
      <w:r w:rsidRPr="00E63DD5">
        <w:rPr>
          <w:rFonts w:ascii="Source Sans Pro" w:hAnsi="Source Sans Pro" w:cs="Tahoma"/>
          <w:sz w:val="24"/>
          <w:szCs w:val="24"/>
          <w:lang w:val="en-GB"/>
        </w:rPr>
        <w:t xml:space="preserve"> on their hou</w:t>
      </w:r>
      <w:r w:rsidR="00FF48BC" w:rsidRPr="00E63DD5">
        <w:rPr>
          <w:rFonts w:ascii="Source Sans Pro" w:hAnsi="Source Sans Pro" w:cs="Tahoma"/>
          <w:sz w:val="24"/>
          <w:szCs w:val="24"/>
          <w:lang w:val="en-GB"/>
        </w:rPr>
        <w:t>sing requirements.  The housing a</w:t>
      </w:r>
      <w:r w:rsidR="00BC4C54" w:rsidRPr="00E63DD5">
        <w:rPr>
          <w:rFonts w:ascii="Source Sans Pro" w:hAnsi="Source Sans Pro" w:cs="Tahoma"/>
          <w:sz w:val="24"/>
          <w:szCs w:val="24"/>
          <w:lang w:val="en-GB"/>
        </w:rPr>
        <w:t xml:space="preserve">uthority </w:t>
      </w:r>
      <w:r w:rsidRPr="00E63DD5">
        <w:rPr>
          <w:rFonts w:ascii="Source Sans Pro" w:hAnsi="Source Sans Pro" w:cs="Tahoma"/>
          <w:sz w:val="24"/>
          <w:szCs w:val="24"/>
          <w:lang w:val="en-GB"/>
        </w:rPr>
        <w:t xml:space="preserve">in considering the awarding of a priority claimed on medical grounds </w:t>
      </w:r>
      <w:r w:rsidR="00BC4C54" w:rsidRPr="00E63DD5">
        <w:rPr>
          <w:rFonts w:ascii="Source Sans Pro" w:hAnsi="Source Sans Pro" w:cs="Tahoma"/>
          <w:sz w:val="24"/>
          <w:szCs w:val="24"/>
          <w:lang w:val="en-GB"/>
        </w:rPr>
        <w:t xml:space="preserve">may seek supplementary medical reports in respect of any specific accommodation requirements. </w:t>
      </w:r>
    </w:p>
    <w:p w14:paraId="4EDF987D" w14:textId="77777777" w:rsidR="00BC4C54" w:rsidRPr="00E63DD5" w:rsidRDefault="00BC4C54" w:rsidP="00D01FCB">
      <w:pPr>
        <w:autoSpaceDE w:val="0"/>
        <w:autoSpaceDN w:val="0"/>
        <w:adjustRightInd w:val="0"/>
        <w:rPr>
          <w:rFonts w:ascii="Source Sans Pro" w:hAnsi="Source Sans Pro" w:cs="Tahoma"/>
          <w:sz w:val="24"/>
          <w:szCs w:val="24"/>
          <w:lang w:val="en-GB"/>
        </w:rPr>
      </w:pPr>
    </w:p>
    <w:p w14:paraId="72E9D018" w14:textId="77777777" w:rsidR="002B3AB4" w:rsidRPr="00E63DD5" w:rsidRDefault="00416028" w:rsidP="002B3AB4">
      <w:pPr>
        <w:rPr>
          <w:rFonts w:ascii="Source Sans Pro" w:hAnsi="Source Sans Pro" w:cs="Tahoma"/>
          <w:b/>
          <w:sz w:val="24"/>
          <w:szCs w:val="24"/>
          <w:lang w:val="en-GB"/>
        </w:rPr>
      </w:pPr>
      <w:r w:rsidRPr="00E63DD5">
        <w:rPr>
          <w:rFonts w:ascii="Source Sans Pro" w:hAnsi="Source Sans Pro" w:cs="Tahoma"/>
          <w:b/>
          <w:sz w:val="24"/>
          <w:szCs w:val="24"/>
          <w:lang w:val="en-GB"/>
        </w:rPr>
        <w:t xml:space="preserve">(G) </w:t>
      </w:r>
      <w:r w:rsidR="002B3AB4" w:rsidRPr="00E63DD5">
        <w:rPr>
          <w:rFonts w:ascii="Source Sans Pro" w:hAnsi="Source Sans Pro" w:cs="Tahoma"/>
          <w:b/>
          <w:sz w:val="24"/>
          <w:szCs w:val="24"/>
          <w:lang w:val="en-GB"/>
        </w:rPr>
        <w:t>Special Category Allocations</w:t>
      </w:r>
    </w:p>
    <w:p w14:paraId="0EE11D03" w14:textId="77777777" w:rsidR="002B3AB4" w:rsidRPr="00E63DD5" w:rsidRDefault="002B3AB4" w:rsidP="002B3AB4">
      <w:pPr>
        <w:rPr>
          <w:rFonts w:ascii="Source Sans Pro" w:hAnsi="Source Sans Pro" w:cs="Tahoma"/>
          <w:sz w:val="24"/>
          <w:szCs w:val="24"/>
          <w:lang w:val="en-GB"/>
        </w:rPr>
      </w:pPr>
      <w:r w:rsidRPr="00E63DD5">
        <w:rPr>
          <w:rFonts w:ascii="Source Sans Pro" w:hAnsi="Source Sans Pro" w:cs="Tahoma"/>
          <w:sz w:val="24"/>
          <w:szCs w:val="24"/>
          <w:lang w:val="en-GB"/>
        </w:rPr>
        <w:t xml:space="preserve">The </w:t>
      </w:r>
      <w:r w:rsidR="00FF48BC" w:rsidRPr="00E63DD5">
        <w:rPr>
          <w:rFonts w:ascii="Source Sans Pro" w:hAnsi="Source Sans Pro" w:cs="Tahoma"/>
          <w:sz w:val="24"/>
          <w:szCs w:val="24"/>
          <w:lang w:val="en-GB"/>
        </w:rPr>
        <w:t>h</w:t>
      </w:r>
      <w:r w:rsidRPr="00E63DD5">
        <w:rPr>
          <w:rFonts w:ascii="Source Sans Pro" w:hAnsi="Source Sans Pro" w:cs="Tahoma"/>
          <w:sz w:val="24"/>
          <w:szCs w:val="24"/>
          <w:lang w:val="en-GB"/>
        </w:rPr>
        <w:t xml:space="preserve">ousing </w:t>
      </w:r>
      <w:r w:rsidR="00FF48BC" w:rsidRPr="00E63DD5">
        <w:rPr>
          <w:rFonts w:ascii="Source Sans Pro" w:hAnsi="Source Sans Pro" w:cs="Tahoma"/>
          <w:sz w:val="24"/>
          <w:szCs w:val="24"/>
          <w:lang w:val="en-GB"/>
        </w:rPr>
        <w:t>a</w:t>
      </w:r>
      <w:r w:rsidRPr="00E63DD5">
        <w:rPr>
          <w:rFonts w:ascii="Source Sans Pro" w:hAnsi="Source Sans Pro" w:cs="Tahoma"/>
          <w:sz w:val="24"/>
          <w:szCs w:val="24"/>
          <w:lang w:val="en-GB"/>
        </w:rPr>
        <w:t>uthority may, from time to time, determine as they see fit to set aside for persons of such category or categories as the authority may decide, a particular number o</w:t>
      </w:r>
      <w:r w:rsidR="00681F9B" w:rsidRPr="00E63DD5">
        <w:rPr>
          <w:rFonts w:ascii="Source Sans Pro" w:hAnsi="Source Sans Pro" w:cs="Tahoma"/>
          <w:sz w:val="24"/>
          <w:szCs w:val="24"/>
          <w:lang w:val="en-GB"/>
        </w:rPr>
        <w:t>r</w:t>
      </w:r>
      <w:r w:rsidRPr="00E63DD5">
        <w:rPr>
          <w:rFonts w:ascii="Source Sans Pro" w:hAnsi="Source Sans Pro" w:cs="Tahoma"/>
          <w:sz w:val="24"/>
          <w:szCs w:val="24"/>
          <w:lang w:val="en-GB"/>
        </w:rPr>
        <w:t xml:space="preserve"> proportion of the dwellings becoming available to the authority for letting. </w:t>
      </w:r>
    </w:p>
    <w:p w14:paraId="6D22ABF7" w14:textId="77777777" w:rsidR="00322103" w:rsidRPr="00E63DD5" w:rsidRDefault="00322103" w:rsidP="002B3AB4">
      <w:pPr>
        <w:rPr>
          <w:rFonts w:ascii="Source Sans Pro" w:hAnsi="Source Sans Pro" w:cs="Tahoma"/>
          <w:sz w:val="24"/>
          <w:szCs w:val="24"/>
          <w:lang w:val="en-GB"/>
        </w:rPr>
      </w:pPr>
    </w:p>
    <w:p w14:paraId="662C258E" w14:textId="77777777" w:rsidR="00322103" w:rsidRPr="00E63DD5" w:rsidRDefault="00322103" w:rsidP="006C5A91">
      <w:pPr>
        <w:pStyle w:val="BodyText"/>
        <w:rPr>
          <w:rFonts w:ascii="Source Sans Pro" w:hAnsi="Source Sans Pro" w:cs="Arial"/>
          <w:sz w:val="24"/>
          <w:szCs w:val="24"/>
        </w:rPr>
      </w:pPr>
      <w:r w:rsidRPr="00E63DD5">
        <w:rPr>
          <w:rFonts w:ascii="Source Sans Pro" w:hAnsi="Source Sans Pro" w:cs="Tahoma"/>
          <w:sz w:val="24"/>
          <w:szCs w:val="24"/>
        </w:rPr>
        <w:t>The following special conditions shall apply in respect of the Allocation Scheme for the Letting of Dwellings:</w:t>
      </w:r>
      <w:r w:rsidRPr="00E63DD5">
        <w:rPr>
          <w:rFonts w:ascii="Source Sans Pro" w:hAnsi="Source Sans Pro" w:cs="Arial"/>
          <w:sz w:val="24"/>
          <w:szCs w:val="24"/>
        </w:rPr>
        <w:tab/>
      </w:r>
    </w:p>
    <w:p w14:paraId="46A9981F" w14:textId="77777777" w:rsidR="00322103" w:rsidRPr="00E63DD5" w:rsidRDefault="00322103" w:rsidP="00322103">
      <w:pPr>
        <w:pStyle w:val="BodyTextIndent"/>
        <w:numPr>
          <w:ilvl w:val="0"/>
          <w:numId w:val="40"/>
        </w:numPr>
        <w:spacing w:after="0"/>
        <w:jc w:val="both"/>
        <w:rPr>
          <w:rFonts w:ascii="Source Sans Pro" w:hAnsi="Source Sans Pro" w:cs="Tahoma"/>
        </w:rPr>
      </w:pPr>
      <w:r w:rsidRPr="00E63DD5">
        <w:rPr>
          <w:rFonts w:ascii="Source Sans Pro" w:hAnsi="Source Sans Pro" w:cs="Tahoma"/>
        </w:rPr>
        <w:t xml:space="preserve">allocation to particular classes of household, e.g. older </w:t>
      </w:r>
      <w:proofErr w:type="gramStart"/>
      <w:r w:rsidRPr="00E63DD5">
        <w:rPr>
          <w:rFonts w:ascii="Source Sans Pro" w:hAnsi="Source Sans Pro" w:cs="Tahoma"/>
        </w:rPr>
        <w:t>persons,  persons</w:t>
      </w:r>
      <w:proofErr w:type="gramEnd"/>
      <w:r w:rsidRPr="00E63DD5">
        <w:rPr>
          <w:rFonts w:ascii="Source Sans Pro" w:hAnsi="Source Sans Pro" w:cs="Tahoma"/>
        </w:rPr>
        <w:t xml:space="preserve"> with disabilities etc., thus affording priority in the allocation of those dwellings to approved households in the relevant category of need;</w:t>
      </w:r>
    </w:p>
    <w:p w14:paraId="733DA770" w14:textId="77777777" w:rsidR="00322103" w:rsidRPr="00E63DD5" w:rsidRDefault="00322103" w:rsidP="00322103">
      <w:pPr>
        <w:pStyle w:val="BodyTextIndent"/>
        <w:numPr>
          <w:ilvl w:val="0"/>
          <w:numId w:val="40"/>
        </w:numPr>
        <w:spacing w:after="0"/>
        <w:jc w:val="both"/>
        <w:rPr>
          <w:rFonts w:ascii="Source Sans Pro" w:hAnsi="Source Sans Pro" w:cs="Tahoma"/>
        </w:rPr>
      </w:pPr>
      <w:r w:rsidRPr="00E63DD5">
        <w:rPr>
          <w:rFonts w:ascii="Source Sans Pro" w:hAnsi="Source Sans Pro" w:cs="Tahoma"/>
        </w:rPr>
        <w:t xml:space="preserve">allocation to households transferring from other forms of social housing support (e.g. RAS </w:t>
      </w:r>
      <w:proofErr w:type="gramStart"/>
      <w:r w:rsidRPr="00E63DD5">
        <w:rPr>
          <w:rFonts w:ascii="Source Sans Pro" w:hAnsi="Source Sans Pro" w:cs="Tahoma"/>
        </w:rPr>
        <w:t>Units,  Voluntary</w:t>
      </w:r>
      <w:proofErr w:type="gramEnd"/>
      <w:r w:rsidRPr="00E63DD5">
        <w:rPr>
          <w:rFonts w:ascii="Source Sans Pro" w:hAnsi="Source Sans Pro" w:cs="Tahoma"/>
        </w:rPr>
        <w:t xml:space="preserve"> Housing Units) and leased units;</w:t>
      </w:r>
    </w:p>
    <w:p w14:paraId="1F4D6D26" w14:textId="77777777" w:rsidR="00322103" w:rsidRPr="00E63DD5" w:rsidRDefault="00322103" w:rsidP="00322103">
      <w:pPr>
        <w:pStyle w:val="BodyTextIndent"/>
        <w:numPr>
          <w:ilvl w:val="0"/>
          <w:numId w:val="40"/>
        </w:numPr>
        <w:spacing w:after="0"/>
        <w:jc w:val="both"/>
        <w:rPr>
          <w:rFonts w:ascii="Source Sans Pro" w:hAnsi="Source Sans Pro" w:cs="Tahoma"/>
        </w:rPr>
      </w:pPr>
      <w:r w:rsidRPr="00E63DD5">
        <w:rPr>
          <w:rFonts w:ascii="Source Sans Pro" w:hAnsi="Source Sans Pro" w:cs="Tahoma"/>
        </w:rPr>
        <w:t xml:space="preserve">for particular forms of tenure, including an </w:t>
      </w:r>
      <w:r w:rsidRPr="00E63DD5">
        <w:rPr>
          <w:rFonts w:ascii="Source Sans Pro" w:hAnsi="Source Sans Pro" w:cs="Tahoma"/>
          <w:b/>
        </w:rPr>
        <w:t xml:space="preserve">Incremental Purchase </w:t>
      </w:r>
      <w:proofErr w:type="gramStart"/>
      <w:r w:rsidRPr="00E63DD5">
        <w:rPr>
          <w:rFonts w:ascii="Source Sans Pro" w:hAnsi="Source Sans Pro" w:cs="Tahoma"/>
          <w:b/>
        </w:rPr>
        <w:t>dwelling;</w:t>
      </w:r>
      <w:proofErr w:type="gramEnd"/>
    </w:p>
    <w:p w14:paraId="78610F36" w14:textId="77777777" w:rsidR="00DE7525" w:rsidRPr="00E63DD5" w:rsidRDefault="00DE7525" w:rsidP="00322103">
      <w:pPr>
        <w:pStyle w:val="BodyTextIndent"/>
        <w:ind w:left="0"/>
        <w:jc w:val="both"/>
        <w:rPr>
          <w:rFonts w:ascii="Source Sans Pro" w:hAnsi="Source Sans Pro" w:cs="Tahoma"/>
        </w:rPr>
      </w:pPr>
    </w:p>
    <w:p w14:paraId="3E91849A" w14:textId="77777777" w:rsidR="00322103" w:rsidRPr="00E63DD5" w:rsidRDefault="00322103" w:rsidP="00322103">
      <w:pPr>
        <w:pStyle w:val="BodyTextIndent"/>
        <w:ind w:left="0"/>
        <w:jc w:val="both"/>
        <w:rPr>
          <w:rFonts w:ascii="Source Sans Pro" w:hAnsi="Source Sans Pro" w:cs="Tahoma"/>
        </w:rPr>
      </w:pPr>
      <w:r w:rsidRPr="00E63DD5">
        <w:rPr>
          <w:rFonts w:ascii="Source Sans Pro" w:hAnsi="Source Sans Pro" w:cs="Tahoma"/>
        </w:rPr>
        <w:t xml:space="preserve">The procedure applied by the housing authority for an </w:t>
      </w:r>
      <w:r w:rsidRPr="00E63DD5">
        <w:rPr>
          <w:rFonts w:ascii="Source Sans Pro" w:hAnsi="Source Sans Pro" w:cs="Tahoma"/>
          <w:b/>
          <w:i/>
        </w:rPr>
        <w:t>Incremental Purchase Scheme</w:t>
      </w:r>
      <w:r w:rsidRPr="00E63DD5">
        <w:rPr>
          <w:rFonts w:ascii="Source Sans Pro" w:hAnsi="Source Sans Pro" w:cs="Tahoma"/>
        </w:rPr>
        <w:t xml:space="preserve"> will be as set out in Part 3 of the 2009 Act and the Housing (Incremental Purchase) Regulations 2010 (S.I. No. 252 of 2010).   Properties are designated by </w:t>
      </w:r>
      <w:proofErr w:type="gramStart"/>
      <w:r w:rsidRPr="00E63DD5">
        <w:rPr>
          <w:rFonts w:ascii="Source Sans Pro" w:hAnsi="Source Sans Pro" w:cs="Tahoma"/>
        </w:rPr>
        <w:t>Manager’s</w:t>
      </w:r>
      <w:proofErr w:type="gramEnd"/>
      <w:r w:rsidRPr="00E63DD5">
        <w:rPr>
          <w:rFonts w:ascii="Source Sans Pro" w:hAnsi="Source Sans Pro" w:cs="Tahoma"/>
        </w:rPr>
        <w:t xml:space="preserve"> Order for use for Incremental Purchase Schemes.   </w:t>
      </w:r>
    </w:p>
    <w:p w14:paraId="6F98D6B1" w14:textId="77777777" w:rsidR="00902DF3" w:rsidRPr="00E63DD5" w:rsidRDefault="00902DF3" w:rsidP="00322103">
      <w:pPr>
        <w:pStyle w:val="BodyTextIndent"/>
        <w:ind w:left="0"/>
        <w:jc w:val="both"/>
        <w:rPr>
          <w:rFonts w:ascii="Source Sans Pro" w:hAnsi="Source Sans Pro" w:cs="Tahoma"/>
          <w:b/>
        </w:rPr>
      </w:pPr>
      <w:r w:rsidRPr="00E63DD5">
        <w:rPr>
          <w:rFonts w:ascii="Source Sans Pro" w:hAnsi="Source Sans Pro" w:cs="Tahoma"/>
          <w:b/>
        </w:rPr>
        <w:t>(H) Choice Based Letting (CBL)</w:t>
      </w:r>
    </w:p>
    <w:p w14:paraId="557140D5" w14:textId="77777777" w:rsidR="00902DF3" w:rsidRPr="00E63DD5" w:rsidRDefault="00902DF3" w:rsidP="00322103">
      <w:pPr>
        <w:pStyle w:val="BodyTextIndent"/>
        <w:ind w:left="0"/>
        <w:jc w:val="both"/>
        <w:rPr>
          <w:rFonts w:ascii="Source Sans Pro" w:hAnsi="Source Sans Pro" w:cs="Tahoma"/>
        </w:rPr>
      </w:pPr>
      <w:r w:rsidRPr="00E63DD5">
        <w:rPr>
          <w:rFonts w:ascii="Source Sans Pro" w:hAnsi="Source Sans Pro" w:cs="Tahoma"/>
        </w:rPr>
        <w:t xml:space="preserve">Leitrim County Council may </w:t>
      </w:r>
      <w:proofErr w:type="spellStart"/>
      <w:r w:rsidRPr="00E63DD5">
        <w:rPr>
          <w:rFonts w:ascii="Source Sans Pro" w:hAnsi="Source Sans Pro" w:cs="Tahoma"/>
        </w:rPr>
        <w:t>utilise</w:t>
      </w:r>
      <w:proofErr w:type="spellEnd"/>
      <w:r w:rsidRPr="00E63DD5">
        <w:rPr>
          <w:rFonts w:ascii="Source Sans Pro" w:hAnsi="Source Sans Pro" w:cs="Tahoma"/>
        </w:rPr>
        <w:t xml:space="preserve"> Choice Based Letting as a method of allocating properties.  Where Choice Based Letting is to be used as a method of allocating Properties, the following general provisions </w:t>
      </w:r>
      <w:proofErr w:type="gramStart"/>
      <w:r w:rsidRPr="00E63DD5">
        <w:rPr>
          <w:rFonts w:ascii="Source Sans Pro" w:hAnsi="Source Sans Pro" w:cs="Tahoma"/>
        </w:rPr>
        <w:t>apply:-</w:t>
      </w:r>
      <w:proofErr w:type="gramEnd"/>
    </w:p>
    <w:p w14:paraId="74D10105" w14:textId="77777777" w:rsidR="00902DF3" w:rsidRPr="00E63DD5" w:rsidRDefault="00902DF3" w:rsidP="00902DF3">
      <w:pPr>
        <w:pStyle w:val="BodyTextIndent"/>
        <w:numPr>
          <w:ilvl w:val="0"/>
          <w:numId w:val="50"/>
        </w:numPr>
        <w:jc w:val="both"/>
        <w:rPr>
          <w:rFonts w:ascii="Source Sans Pro" w:hAnsi="Source Sans Pro" w:cs="Tahoma"/>
        </w:rPr>
      </w:pPr>
      <w:r w:rsidRPr="00E63DD5">
        <w:rPr>
          <w:rFonts w:ascii="Source Sans Pro" w:hAnsi="Source Sans Pro" w:cs="Tahoma"/>
        </w:rPr>
        <w:t>Persons assessed as being qualified for social housing support in accordance with Section 20 of the Housing (Miscellaneous Provisions) Act, 2009 a</w:t>
      </w:r>
      <w:r w:rsidR="0086237D" w:rsidRPr="00E63DD5">
        <w:rPr>
          <w:rFonts w:ascii="Source Sans Pro" w:hAnsi="Source Sans Pro" w:cs="Tahoma"/>
        </w:rPr>
        <w:t>nd</w:t>
      </w:r>
      <w:r w:rsidRPr="00E63DD5">
        <w:rPr>
          <w:rFonts w:ascii="Source Sans Pro" w:hAnsi="Source Sans Pro" w:cs="Tahoma"/>
        </w:rPr>
        <w:t xml:space="preserve"> associated Regulations, may apply for Tenancie</w:t>
      </w:r>
      <w:r w:rsidR="005C5EAF" w:rsidRPr="00E63DD5">
        <w:rPr>
          <w:rFonts w:ascii="Source Sans Pro" w:hAnsi="Source Sans Pro" w:cs="Tahoma"/>
        </w:rPr>
        <w:t>s of Properties designated</w:t>
      </w:r>
      <w:r w:rsidR="005C5EAF" w:rsidRPr="00E63DD5">
        <w:rPr>
          <w:rFonts w:ascii="Source Sans Pro" w:hAnsi="Source Sans Pro" w:cs="Tahoma"/>
          <w:color w:val="FF0000"/>
        </w:rPr>
        <w:t xml:space="preserve"> </w:t>
      </w:r>
      <w:r w:rsidR="005C5EAF" w:rsidRPr="00E63DD5">
        <w:rPr>
          <w:rFonts w:ascii="Source Sans Pro" w:hAnsi="Source Sans Pro" w:cs="Tahoma"/>
        </w:rPr>
        <w:t xml:space="preserve">for allocation by </w:t>
      </w:r>
      <w:r w:rsidR="0086237D" w:rsidRPr="00E63DD5">
        <w:rPr>
          <w:rFonts w:ascii="Source Sans Pro" w:hAnsi="Source Sans Pro" w:cs="Tahoma"/>
        </w:rPr>
        <w:t>C</w:t>
      </w:r>
      <w:r w:rsidR="005C5EAF" w:rsidRPr="00E63DD5">
        <w:rPr>
          <w:rFonts w:ascii="Source Sans Pro" w:hAnsi="Source Sans Pro" w:cs="Tahoma"/>
        </w:rPr>
        <w:t>hoice Based Letting</w:t>
      </w:r>
    </w:p>
    <w:p w14:paraId="11210E43" w14:textId="77777777" w:rsidR="005C5EAF" w:rsidRPr="00E63DD5" w:rsidRDefault="005C5EAF" w:rsidP="00902DF3">
      <w:pPr>
        <w:pStyle w:val="BodyTextIndent"/>
        <w:numPr>
          <w:ilvl w:val="0"/>
          <w:numId w:val="50"/>
        </w:numPr>
        <w:jc w:val="both"/>
        <w:rPr>
          <w:rFonts w:ascii="Source Sans Pro" w:hAnsi="Source Sans Pro" w:cs="Tahoma"/>
        </w:rPr>
      </w:pPr>
      <w:r w:rsidRPr="00E63DD5">
        <w:rPr>
          <w:rFonts w:ascii="Source Sans Pro" w:hAnsi="Source Sans Pro" w:cs="Tahoma"/>
        </w:rPr>
        <w:lastRenderedPageBreak/>
        <w:t>Properties must be designated for allocation by CBL by means of a Chief Executive Order</w:t>
      </w:r>
    </w:p>
    <w:p w14:paraId="3C2CD41E" w14:textId="77777777" w:rsidR="005C5EAF" w:rsidRPr="00E63DD5" w:rsidRDefault="005C5EAF" w:rsidP="00902DF3">
      <w:pPr>
        <w:pStyle w:val="BodyTextIndent"/>
        <w:numPr>
          <w:ilvl w:val="0"/>
          <w:numId w:val="50"/>
        </w:numPr>
        <w:jc w:val="both"/>
        <w:rPr>
          <w:rFonts w:ascii="Source Sans Pro" w:hAnsi="Source Sans Pro" w:cs="Tahoma"/>
        </w:rPr>
      </w:pPr>
      <w:r w:rsidRPr="00E63DD5">
        <w:rPr>
          <w:rFonts w:ascii="Source Sans Pro" w:hAnsi="Source Sans Pro" w:cs="Tahoma"/>
        </w:rPr>
        <w:t xml:space="preserve">Where properties are to be allocated by CBL, there must be an open and transparent means for advising households of the availability of the designated </w:t>
      </w:r>
      <w:proofErr w:type="gramStart"/>
      <w:r w:rsidRPr="00E63DD5">
        <w:rPr>
          <w:rFonts w:ascii="Source Sans Pro" w:hAnsi="Source Sans Pro" w:cs="Tahoma"/>
        </w:rPr>
        <w:t>properties</w:t>
      </w:r>
      <w:proofErr w:type="gramEnd"/>
    </w:p>
    <w:p w14:paraId="1ED24A15" w14:textId="77777777" w:rsidR="005C5EAF" w:rsidRPr="00E63DD5" w:rsidRDefault="005C5EAF" w:rsidP="00902DF3">
      <w:pPr>
        <w:pStyle w:val="BodyTextIndent"/>
        <w:numPr>
          <w:ilvl w:val="0"/>
          <w:numId w:val="50"/>
        </w:numPr>
        <w:jc w:val="both"/>
        <w:rPr>
          <w:rFonts w:ascii="Source Sans Pro" w:hAnsi="Source Sans Pro" w:cs="Tahoma"/>
        </w:rPr>
      </w:pPr>
      <w:r w:rsidRPr="00E63DD5">
        <w:rPr>
          <w:rFonts w:ascii="Source Sans Pro" w:hAnsi="Source Sans Pro" w:cs="Tahoma"/>
        </w:rPr>
        <w:t xml:space="preserve">Where two or more households of the same class bid for a </w:t>
      </w:r>
      <w:proofErr w:type="gramStart"/>
      <w:r w:rsidRPr="00E63DD5">
        <w:rPr>
          <w:rFonts w:ascii="Source Sans Pro" w:hAnsi="Source Sans Pro" w:cs="Tahoma"/>
        </w:rPr>
        <w:t>Property</w:t>
      </w:r>
      <w:proofErr w:type="gramEnd"/>
      <w:r w:rsidRPr="00E63DD5">
        <w:rPr>
          <w:rFonts w:ascii="Source Sans Pro" w:hAnsi="Source Sans Pro" w:cs="Tahoma"/>
        </w:rPr>
        <w:t>, the decision as to which household will be allocated the Property will be in accordance with the priorities as set out in this Allocation Scheme</w:t>
      </w:r>
    </w:p>
    <w:p w14:paraId="0470D08A" w14:textId="77777777" w:rsidR="005C5EAF" w:rsidRPr="00E63DD5" w:rsidRDefault="005C5EAF" w:rsidP="00902DF3">
      <w:pPr>
        <w:pStyle w:val="BodyTextIndent"/>
        <w:numPr>
          <w:ilvl w:val="0"/>
          <w:numId w:val="50"/>
        </w:numPr>
        <w:jc w:val="both"/>
        <w:rPr>
          <w:rFonts w:ascii="Source Sans Pro" w:hAnsi="Source Sans Pro" w:cs="Tahoma"/>
        </w:rPr>
      </w:pPr>
      <w:r w:rsidRPr="00E63DD5">
        <w:rPr>
          <w:rFonts w:ascii="Source Sans Pro" w:hAnsi="Source Sans Pro" w:cs="Tahoma"/>
        </w:rPr>
        <w:t xml:space="preserve">The refusal of a </w:t>
      </w:r>
      <w:proofErr w:type="gramStart"/>
      <w:r w:rsidRPr="00E63DD5">
        <w:rPr>
          <w:rFonts w:ascii="Source Sans Pro" w:hAnsi="Source Sans Pro" w:cs="Tahoma"/>
        </w:rPr>
        <w:t>Property</w:t>
      </w:r>
      <w:proofErr w:type="gramEnd"/>
      <w:r w:rsidRPr="00E63DD5">
        <w:rPr>
          <w:rFonts w:ascii="Source Sans Pro" w:hAnsi="Source Sans Pro" w:cs="Tahoma"/>
        </w:rPr>
        <w:t xml:space="preserve"> following an </w:t>
      </w:r>
      <w:r w:rsidR="00790C0C" w:rsidRPr="00E63DD5">
        <w:rPr>
          <w:rFonts w:ascii="Source Sans Pro" w:hAnsi="Source Sans Pro" w:cs="Tahoma"/>
        </w:rPr>
        <w:t xml:space="preserve">reasonable </w:t>
      </w:r>
      <w:r w:rsidRPr="00E63DD5">
        <w:rPr>
          <w:rFonts w:ascii="Source Sans Pro" w:hAnsi="Source Sans Pro" w:cs="Tahoma"/>
        </w:rPr>
        <w:t>offer under CBL will mean that the household concerned will not be considered for another CBL offer for a period of 12 months</w:t>
      </w:r>
    </w:p>
    <w:p w14:paraId="76FCE77D" w14:textId="77777777" w:rsidR="005C5EAF" w:rsidRPr="00E63DD5" w:rsidRDefault="005C5EAF" w:rsidP="00902DF3">
      <w:pPr>
        <w:pStyle w:val="BodyTextIndent"/>
        <w:numPr>
          <w:ilvl w:val="0"/>
          <w:numId w:val="50"/>
        </w:numPr>
        <w:jc w:val="both"/>
        <w:rPr>
          <w:rFonts w:ascii="Source Sans Pro" w:hAnsi="Source Sans Pro" w:cs="Tahoma"/>
        </w:rPr>
      </w:pPr>
      <w:r w:rsidRPr="00E63DD5">
        <w:rPr>
          <w:rFonts w:ascii="Source Sans Pro" w:hAnsi="Source Sans Pro" w:cs="Tahoma"/>
        </w:rPr>
        <w:t xml:space="preserve">The Refusal of an offer made under CBL will not be counted as a refusal for the purposes of the general refusals </w:t>
      </w:r>
      <w:proofErr w:type="gramStart"/>
      <w:r w:rsidRPr="00E63DD5">
        <w:rPr>
          <w:rFonts w:ascii="Source Sans Pro" w:hAnsi="Source Sans Pro" w:cs="Tahoma"/>
        </w:rPr>
        <w:t>policy</w:t>
      </w:r>
      <w:proofErr w:type="gramEnd"/>
    </w:p>
    <w:p w14:paraId="5F49B0CD" w14:textId="77777777" w:rsidR="0086237D" w:rsidRPr="00E63DD5" w:rsidRDefault="0086237D" w:rsidP="002B3AB4">
      <w:pPr>
        <w:rPr>
          <w:rFonts w:ascii="Source Sans Pro" w:hAnsi="Source Sans Pro" w:cs="Tahoma"/>
          <w:b/>
          <w:sz w:val="24"/>
          <w:szCs w:val="24"/>
          <w:lang w:val="en-GB"/>
        </w:rPr>
      </w:pPr>
    </w:p>
    <w:p w14:paraId="29109532" w14:textId="77777777" w:rsidR="002B3AB4" w:rsidRPr="00E63DD5" w:rsidRDefault="00416028" w:rsidP="002B3AB4">
      <w:pPr>
        <w:rPr>
          <w:rFonts w:ascii="Source Sans Pro" w:hAnsi="Source Sans Pro" w:cs="Tahoma"/>
          <w:b/>
          <w:sz w:val="24"/>
          <w:szCs w:val="24"/>
          <w:lang w:val="en-GB"/>
        </w:rPr>
      </w:pPr>
      <w:r w:rsidRPr="00E63DD5">
        <w:rPr>
          <w:rFonts w:ascii="Source Sans Pro" w:hAnsi="Source Sans Pro" w:cs="Tahoma"/>
          <w:b/>
          <w:sz w:val="24"/>
          <w:szCs w:val="24"/>
          <w:lang w:val="en-GB"/>
        </w:rPr>
        <w:t>(</w:t>
      </w:r>
      <w:r w:rsidR="0086237D" w:rsidRPr="00E63DD5">
        <w:rPr>
          <w:rFonts w:ascii="Source Sans Pro" w:hAnsi="Source Sans Pro" w:cs="Tahoma"/>
          <w:b/>
          <w:sz w:val="24"/>
          <w:szCs w:val="24"/>
          <w:lang w:val="en-GB"/>
        </w:rPr>
        <w:t>I</w:t>
      </w:r>
      <w:r w:rsidRPr="00E63DD5">
        <w:rPr>
          <w:rFonts w:ascii="Source Sans Pro" w:hAnsi="Source Sans Pro" w:cs="Tahoma"/>
          <w:b/>
          <w:sz w:val="24"/>
          <w:szCs w:val="24"/>
          <w:lang w:val="en-GB"/>
        </w:rPr>
        <w:t xml:space="preserve">) </w:t>
      </w:r>
      <w:r w:rsidR="002B3AB4" w:rsidRPr="00E63DD5">
        <w:rPr>
          <w:rFonts w:ascii="Source Sans Pro" w:hAnsi="Source Sans Pro" w:cs="Tahoma"/>
          <w:b/>
          <w:sz w:val="24"/>
          <w:szCs w:val="24"/>
          <w:lang w:val="en-GB"/>
        </w:rPr>
        <w:t xml:space="preserve">Emergency Allocations </w:t>
      </w:r>
    </w:p>
    <w:p w14:paraId="7C386824" w14:textId="77777777" w:rsidR="002B3AB4" w:rsidRPr="00E63DD5" w:rsidRDefault="00DE7525" w:rsidP="002B3AB4">
      <w:pPr>
        <w:rPr>
          <w:rFonts w:ascii="Source Sans Pro" w:hAnsi="Source Sans Pro" w:cs="Tahoma"/>
          <w:sz w:val="24"/>
          <w:szCs w:val="24"/>
          <w:lang w:val="en-GB"/>
        </w:rPr>
      </w:pPr>
      <w:r w:rsidRPr="00E63DD5">
        <w:rPr>
          <w:rFonts w:ascii="Source Sans Pro" w:hAnsi="Source Sans Pro" w:cs="Tahoma"/>
          <w:sz w:val="24"/>
          <w:szCs w:val="24"/>
          <w:lang w:val="en-GB"/>
        </w:rPr>
        <w:t>The housing a</w:t>
      </w:r>
      <w:r w:rsidR="00681F9B" w:rsidRPr="00E63DD5">
        <w:rPr>
          <w:rFonts w:ascii="Source Sans Pro" w:hAnsi="Source Sans Pro" w:cs="Tahoma"/>
          <w:sz w:val="24"/>
          <w:szCs w:val="24"/>
          <w:lang w:val="en-GB"/>
        </w:rPr>
        <w:t>uthority</w:t>
      </w:r>
      <w:r w:rsidR="002B3AB4" w:rsidRPr="00E63DD5">
        <w:rPr>
          <w:rFonts w:ascii="Source Sans Pro" w:hAnsi="Source Sans Pro" w:cs="Tahoma"/>
          <w:sz w:val="24"/>
          <w:szCs w:val="24"/>
          <w:lang w:val="en-GB"/>
        </w:rPr>
        <w:t xml:space="preserve">, notwithstanding the order of priorities for lettings as set out in this scheme, may, where it considers necessary, make a letting to a person whose need for accommodation arises from an emergency. </w:t>
      </w:r>
    </w:p>
    <w:p w14:paraId="1B002A23" w14:textId="77777777" w:rsidR="00681F9B" w:rsidRPr="00E63DD5" w:rsidRDefault="00681F9B" w:rsidP="00416028">
      <w:pPr>
        <w:rPr>
          <w:rFonts w:ascii="Source Sans Pro" w:hAnsi="Source Sans Pro" w:cs="Tahoma"/>
          <w:b/>
          <w:sz w:val="24"/>
          <w:szCs w:val="24"/>
          <w:lang w:val="en-GB"/>
        </w:rPr>
      </w:pPr>
    </w:p>
    <w:p w14:paraId="705D3A55" w14:textId="77777777" w:rsidR="00BC4C54" w:rsidRPr="00E63DD5" w:rsidRDefault="00416028" w:rsidP="00416028">
      <w:pPr>
        <w:rPr>
          <w:rFonts w:ascii="Source Sans Pro" w:hAnsi="Source Sans Pro" w:cs="Tahoma"/>
          <w:b/>
          <w:sz w:val="24"/>
          <w:szCs w:val="24"/>
          <w:lang w:val="en-GB"/>
        </w:rPr>
      </w:pPr>
      <w:r w:rsidRPr="00E63DD5">
        <w:rPr>
          <w:rFonts w:ascii="Source Sans Pro" w:hAnsi="Source Sans Pro" w:cs="Tahoma"/>
          <w:b/>
          <w:sz w:val="24"/>
          <w:szCs w:val="24"/>
          <w:lang w:val="en-GB"/>
        </w:rPr>
        <w:t>(</w:t>
      </w:r>
      <w:r w:rsidR="0086237D" w:rsidRPr="00E63DD5">
        <w:rPr>
          <w:rFonts w:ascii="Source Sans Pro" w:hAnsi="Source Sans Pro" w:cs="Tahoma"/>
          <w:b/>
          <w:sz w:val="24"/>
          <w:szCs w:val="24"/>
          <w:lang w:val="en-GB"/>
        </w:rPr>
        <w:t>J</w:t>
      </w:r>
      <w:r w:rsidRPr="00E63DD5">
        <w:rPr>
          <w:rFonts w:ascii="Source Sans Pro" w:hAnsi="Source Sans Pro" w:cs="Tahoma"/>
          <w:b/>
          <w:sz w:val="24"/>
          <w:szCs w:val="24"/>
          <w:lang w:val="en-GB"/>
        </w:rPr>
        <w:t xml:space="preserve">) </w:t>
      </w:r>
      <w:r w:rsidR="00D01FCB" w:rsidRPr="00E63DD5">
        <w:rPr>
          <w:rFonts w:ascii="Source Sans Pro" w:hAnsi="Source Sans Pro" w:cs="Tahoma"/>
          <w:b/>
          <w:sz w:val="24"/>
          <w:szCs w:val="24"/>
          <w:lang w:val="en-GB"/>
        </w:rPr>
        <w:t>Refusals</w:t>
      </w:r>
    </w:p>
    <w:p w14:paraId="4393C2DE" w14:textId="77777777" w:rsidR="00BD0226" w:rsidRPr="00E63DD5" w:rsidRDefault="00BD0226" w:rsidP="00BD0226">
      <w:pPr>
        <w:rPr>
          <w:rFonts w:ascii="Source Sans Pro" w:hAnsi="Source Sans Pro" w:cs="Tahoma"/>
          <w:b/>
          <w:sz w:val="24"/>
          <w:szCs w:val="24"/>
          <w:lang w:val="en-GB"/>
        </w:rPr>
      </w:pPr>
      <w:r w:rsidRPr="00E63DD5">
        <w:rPr>
          <w:rFonts w:ascii="Source Sans Pro" w:hAnsi="Source Sans Pro" w:cs="Tahoma"/>
          <w:b/>
          <w:sz w:val="24"/>
          <w:szCs w:val="24"/>
          <w:lang w:val="en-GB"/>
        </w:rPr>
        <w:t xml:space="preserve">Part I - Refusals of Offers of Accommodation by Housing Applicants </w:t>
      </w:r>
    </w:p>
    <w:p w14:paraId="16A79F62" w14:textId="77777777" w:rsidR="00BD0226" w:rsidRPr="00E63DD5" w:rsidRDefault="00BD0226" w:rsidP="00416028">
      <w:pPr>
        <w:rPr>
          <w:rFonts w:ascii="Source Sans Pro" w:hAnsi="Source Sans Pro" w:cs="Tahoma"/>
          <w:sz w:val="24"/>
          <w:szCs w:val="24"/>
          <w:lang w:val="en-GB"/>
        </w:rPr>
      </w:pPr>
      <w:r w:rsidRPr="00E63DD5">
        <w:rPr>
          <w:rFonts w:ascii="Source Sans Pro" w:hAnsi="Source Sans Pro" w:cs="Tahoma"/>
          <w:sz w:val="24"/>
          <w:szCs w:val="24"/>
          <w:lang w:val="en-GB"/>
        </w:rPr>
        <w:t xml:space="preserve">Following the coming into force of this Scheme, where a qualified household refuses two reasonable offers of the allocation of different dwellings in any continuous period of one year commencing on the date of the first refusal, the said household shall not, for the period of one year commencing on the date of the second refusal, be considered by Leitrim County Council for the allocation of a dwelling to which Section 22 of the Act of 2009 applies and the latter period shall not subsequently be reckonable in any way for the purposes of determining the relative priority of that household for a dwelling allocation.  </w:t>
      </w:r>
    </w:p>
    <w:p w14:paraId="379A392F" w14:textId="77777777" w:rsidR="00BD0226" w:rsidRPr="00E63DD5" w:rsidRDefault="00BD0226" w:rsidP="00416028">
      <w:pPr>
        <w:rPr>
          <w:rFonts w:ascii="Source Sans Pro" w:hAnsi="Source Sans Pro" w:cs="Tahoma"/>
          <w:sz w:val="24"/>
          <w:szCs w:val="24"/>
          <w:lang w:val="en-GB"/>
        </w:rPr>
      </w:pPr>
    </w:p>
    <w:p w14:paraId="32909DF6" w14:textId="77777777" w:rsidR="00BD0226" w:rsidRPr="00E63DD5" w:rsidRDefault="00BD0226" w:rsidP="00416028">
      <w:pPr>
        <w:rPr>
          <w:rFonts w:ascii="Source Sans Pro" w:hAnsi="Source Sans Pro" w:cs="Tahoma"/>
          <w:sz w:val="24"/>
          <w:szCs w:val="24"/>
          <w:lang w:val="en-GB"/>
        </w:rPr>
      </w:pPr>
      <w:r w:rsidRPr="00E63DD5">
        <w:rPr>
          <w:rFonts w:ascii="Source Sans Pro" w:hAnsi="Source Sans Pro" w:cs="Tahoma"/>
          <w:sz w:val="24"/>
          <w:szCs w:val="24"/>
          <w:lang w:val="en-GB"/>
        </w:rPr>
        <w:t>Refusal of offers of accommodation of Council-owned dwellings, offers of accommodation under the Rental Accommodation Scheme or leased dwellings, or a dwelling owned by an</w:t>
      </w:r>
      <w:r w:rsidRPr="00E63DD5">
        <w:rPr>
          <w:rFonts w:ascii="Source Sans Pro" w:hAnsi="Source Sans Pro" w:cs="Tahoma"/>
          <w:color w:val="548DD4" w:themeColor="text2" w:themeTint="99"/>
          <w:sz w:val="24"/>
          <w:szCs w:val="24"/>
          <w:lang w:val="en-GB"/>
        </w:rPr>
        <w:t xml:space="preserve"> </w:t>
      </w:r>
      <w:r w:rsidRPr="00E63DD5">
        <w:rPr>
          <w:rFonts w:ascii="Source Sans Pro" w:hAnsi="Source Sans Pro" w:cs="Tahoma"/>
          <w:sz w:val="24"/>
          <w:szCs w:val="24"/>
          <w:lang w:val="en-GB"/>
        </w:rPr>
        <w:t xml:space="preserve">Approved Housing Body will be treated as a refusal of accommodation. </w:t>
      </w:r>
    </w:p>
    <w:p w14:paraId="7108B0B2" w14:textId="77777777" w:rsidR="00BD0226" w:rsidRPr="00E63DD5" w:rsidRDefault="00BD0226" w:rsidP="00416028">
      <w:pPr>
        <w:rPr>
          <w:rFonts w:ascii="Source Sans Pro" w:hAnsi="Source Sans Pro" w:cs="Tahoma"/>
          <w:b/>
          <w:sz w:val="24"/>
          <w:szCs w:val="24"/>
          <w:lang w:val="en-GB"/>
        </w:rPr>
      </w:pPr>
    </w:p>
    <w:p w14:paraId="756F7DB1" w14:textId="77777777" w:rsidR="00681F9B" w:rsidRPr="00E63DD5" w:rsidRDefault="00681F9B" w:rsidP="00681F9B">
      <w:p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 xml:space="preserve">A reasonable offer is defined in Regulation 12(3) as an offer of accommodation which in the opinion of the authority would meet the needs and requirements of the household and the dwelling is situated </w:t>
      </w:r>
      <w:proofErr w:type="gramStart"/>
      <w:r w:rsidRPr="00E63DD5">
        <w:rPr>
          <w:rFonts w:ascii="Source Sans Pro" w:hAnsi="Source Sans Pro" w:cs="Tahoma"/>
          <w:sz w:val="24"/>
          <w:szCs w:val="24"/>
          <w:lang w:eastAsia="en-GB"/>
        </w:rPr>
        <w:t>in the area of</w:t>
      </w:r>
      <w:proofErr w:type="gramEnd"/>
      <w:r w:rsidRPr="00E63DD5">
        <w:rPr>
          <w:rFonts w:ascii="Source Sans Pro" w:hAnsi="Source Sans Pro" w:cs="Tahoma"/>
          <w:sz w:val="24"/>
          <w:szCs w:val="24"/>
          <w:lang w:eastAsia="en-GB"/>
        </w:rPr>
        <w:t xml:space="preserve"> choice specified by the household.</w:t>
      </w:r>
    </w:p>
    <w:p w14:paraId="5135F832" w14:textId="77777777" w:rsidR="00681F9B" w:rsidRPr="00E63DD5" w:rsidRDefault="00681F9B" w:rsidP="00BC4C54">
      <w:pPr>
        <w:autoSpaceDE w:val="0"/>
        <w:autoSpaceDN w:val="0"/>
        <w:adjustRightInd w:val="0"/>
        <w:rPr>
          <w:rFonts w:ascii="Source Sans Pro" w:hAnsi="Source Sans Pro" w:cs="Tahoma"/>
          <w:sz w:val="24"/>
          <w:szCs w:val="24"/>
          <w:lang w:eastAsia="en-GB"/>
        </w:rPr>
      </w:pPr>
    </w:p>
    <w:p w14:paraId="1E7F6A9C" w14:textId="77777777" w:rsidR="00BC4C54" w:rsidRPr="00E63DD5" w:rsidRDefault="00BC4C54" w:rsidP="00BC4C54">
      <w:p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A household will not be of</w:t>
      </w:r>
      <w:r w:rsidR="002368FF" w:rsidRPr="00E63DD5">
        <w:rPr>
          <w:rFonts w:ascii="Source Sans Pro" w:hAnsi="Source Sans Pro" w:cs="Tahoma"/>
          <w:sz w:val="24"/>
          <w:szCs w:val="24"/>
          <w:lang w:eastAsia="en-GB"/>
        </w:rPr>
        <w:t>fered social housing support during</w:t>
      </w:r>
      <w:r w:rsidRPr="00E63DD5">
        <w:rPr>
          <w:rFonts w:ascii="Source Sans Pro" w:hAnsi="Source Sans Pro" w:cs="Tahoma"/>
          <w:sz w:val="24"/>
          <w:szCs w:val="24"/>
          <w:lang w:eastAsia="en-GB"/>
        </w:rPr>
        <w:t xml:space="preserve"> the suspension period and time will not be added on during this period for ‘time on list’ or any other priority determining purposes. </w:t>
      </w:r>
    </w:p>
    <w:p w14:paraId="1929B159" w14:textId="77777777" w:rsidR="00BC4C54" w:rsidRPr="00E63DD5" w:rsidRDefault="00BC4C54" w:rsidP="00BC4C54">
      <w:pPr>
        <w:autoSpaceDE w:val="0"/>
        <w:autoSpaceDN w:val="0"/>
        <w:adjustRightInd w:val="0"/>
        <w:rPr>
          <w:rFonts w:ascii="Source Sans Pro" w:hAnsi="Source Sans Pro" w:cs="Tahoma"/>
          <w:sz w:val="24"/>
          <w:szCs w:val="24"/>
          <w:lang w:eastAsia="en-GB"/>
        </w:rPr>
      </w:pPr>
    </w:p>
    <w:p w14:paraId="6F857287" w14:textId="77777777" w:rsidR="00BC4C54" w:rsidRPr="00E63DD5" w:rsidRDefault="00BC4C54" w:rsidP="00BC4C54">
      <w:p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lastRenderedPageBreak/>
        <w:t>All offers of accommodation shall be notified to the relevant Community Welfare Officer</w:t>
      </w:r>
      <w:r w:rsidR="002368FF" w:rsidRPr="00E63DD5">
        <w:rPr>
          <w:rFonts w:ascii="Source Sans Pro" w:hAnsi="Source Sans Pro" w:cs="Tahoma"/>
          <w:sz w:val="24"/>
          <w:szCs w:val="24"/>
          <w:lang w:eastAsia="en-GB"/>
        </w:rPr>
        <w:t xml:space="preserve"> who is</w:t>
      </w:r>
      <w:r w:rsidRPr="00E63DD5">
        <w:rPr>
          <w:rFonts w:ascii="Source Sans Pro" w:hAnsi="Source Sans Pro" w:cs="Tahoma"/>
          <w:sz w:val="24"/>
          <w:szCs w:val="24"/>
          <w:lang w:eastAsia="en-GB"/>
        </w:rPr>
        <w:t xml:space="preserve"> responsible for enforcement of the regulations in respect to payment of rent supplement [refusal of accommodation may result in loss of rent sup</w:t>
      </w:r>
      <w:r w:rsidR="00681F9B" w:rsidRPr="00E63DD5">
        <w:rPr>
          <w:rFonts w:ascii="Source Sans Pro" w:hAnsi="Source Sans Pro" w:cs="Tahoma"/>
          <w:sz w:val="24"/>
          <w:szCs w:val="24"/>
          <w:lang w:eastAsia="en-GB"/>
        </w:rPr>
        <w:t>plement payment from the H.S.E].</w:t>
      </w:r>
    </w:p>
    <w:p w14:paraId="6D87A505" w14:textId="77777777" w:rsidR="00BC4C54" w:rsidRPr="00E63DD5" w:rsidRDefault="00BC4C54" w:rsidP="00BC4C54">
      <w:pPr>
        <w:autoSpaceDE w:val="0"/>
        <w:autoSpaceDN w:val="0"/>
        <w:adjustRightInd w:val="0"/>
        <w:rPr>
          <w:rFonts w:ascii="Source Sans Pro" w:hAnsi="Source Sans Pro" w:cs="Tahoma"/>
          <w:sz w:val="24"/>
          <w:szCs w:val="24"/>
          <w:lang w:eastAsia="en-GB"/>
        </w:rPr>
      </w:pPr>
    </w:p>
    <w:p w14:paraId="07D293F3" w14:textId="77777777" w:rsidR="00BC4C54" w:rsidRPr="00E63DD5" w:rsidRDefault="00BC4C54" w:rsidP="00BC4C54">
      <w:p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 xml:space="preserve">In </w:t>
      </w:r>
      <w:proofErr w:type="gramStart"/>
      <w:r w:rsidRPr="00E63DD5">
        <w:rPr>
          <w:rFonts w:ascii="Source Sans Pro" w:hAnsi="Source Sans Pro" w:cs="Tahoma"/>
          <w:sz w:val="24"/>
          <w:szCs w:val="24"/>
          <w:lang w:eastAsia="en-GB"/>
        </w:rPr>
        <w:t>general</w:t>
      </w:r>
      <w:proofErr w:type="gramEnd"/>
      <w:r w:rsidRPr="00E63DD5">
        <w:rPr>
          <w:rFonts w:ascii="Source Sans Pro" w:hAnsi="Source Sans Pro" w:cs="Tahoma"/>
          <w:sz w:val="24"/>
          <w:szCs w:val="24"/>
          <w:lang w:eastAsia="en-GB"/>
        </w:rPr>
        <w:t xml:space="preserve"> a household at the top of the list will stay there until they either have accepted a property or refused two offers of social housing support. </w:t>
      </w:r>
    </w:p>
    <w:p w14:paraId="348290BE" w14:textId="77777777" w:rsidR="002979EB" w:rsidRPr="00E63DD5" w:rsidRDefault="002979EB" w:rsidP="00D01FCB">
      <w:pPr>
        <w:autoSpaceDE w:val="0"/>
        <w:autoSpaceDN w:val="0"/>
        <w:adjustRightInd w:val="0"/>
        <w:rPr>
          <w:rFonts w:ascii="Source Sans Pro" w:hAnsi="Source Sans Pro" w:cs="Tahoma"/>
          <w:sz w:val="24"/>
          <w:szCs w:val="24"/>
          <w:lang w:eastAsia="en-GB"/>
        </w:rPr>
      </w:pPr>
    </w:p>
    <w:p w14:paraId="0FF79D19" w14:textId="77777777" w:rsidR="00D01FCB" w:rsidRPr="00E63DD5" w:rsidRDefault="00F277D4" w:rsidP="00D01FCB">
      <w:p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 xml:space="preserve">The only exceptions to this </w:t>
      </w:r>
      <w:proofErr w:type="gramStart"/>
      <w:r w:rsidRPr="00E63DD5">
        <w:rPr>
          <w:rFonts w:ascii="Source Sans Pro" w:hAnsi="Source Sans Pro" w:cs="Tahoma"/>
          <w:sz w:val="24"/>
          <w:szCs w:val="24"/>
          <w:lang w:eastAsia="en-GB"/>
        </w:rPr>
        <w:t>is</w:t>
      </w:r>
      <w:proofErr w:type="gramEnd"/>
      <w:r w:rsidRPr="00E63DD5">
        <w:rPr>
          <w:rFonts w:ascii="Source Sans Pro" w:hAnsi="Source Sans Pro" w:cs="Tahoma"/>
          <w:sz w:val="24"/>
          <w:szCs w:val="24"/>
          <w:lang w:eastAsia="en-GB"/>
        </w:rPr>
        <w:t xml:space="preserve"> where the </w:t>
      </w:r>
      <w:r w:rsidR="00DE7525" w:rsidRPr="00E63DD5">
        <w:rPr>
          <w:rFonts w:ascii="Source Sans Pro" w:hAnsi="Source Sans Pro" w:cs="Tahoma"/>
          <w:sz w:val="24"/>
          <w:szCs w:val="24"/>
          <w:lang w:eastAsia="en-GB"/>
        </w:rPr>
        <w:t xml:space="preserve">housing </w:t>
      </w:r>
      <w:r w:rsidRPr="00E63DD5">
        <w:rPr>
          <w:rFonts w:ascii="Source Sans Pro" w:hAnsi="Source Sans Pro" w:cs="Tahoma"/>
          <w:sz w:val="24"/>
          <w:szCs w:val="24"/>
          <w:lang w:eastAsia="en-GB"/>
        </w:rPr>
        <w:t>authority is offering accommodation because of specified exceptional circumstances, inclu</w:t>
      </w:r>
      <w:r w:rsidR="00681F9B" w:rsidRPr="00E63DD5">
        <w:rPr>
          <w:rFonts w:ascii="Source Sans Pro" w:hAnsi="Source Sans Pro" w:cs="Tahoma"/>
          <w:sz w:val="24"/>
          <w:szCs w:val="24"/>
          <w:lang w:eastAsia="en-GB"/>
        </w:rPr>
        <w:t>ding displacement by fire, flood</w:t>
      </w:r>
      <w:r w:rsidRPr="00E63DD5">
        <w:rPr>
          <w:rFonts w:ascii="Source Sans Pro" w:hAnsi="Source Sans Pro" w:cs="Tahoma"/>
          <w:sz w:val="24"/>
          <w:szCs w:val="24"/>
          <w:lang w:eastAsia="en-GB"/>
        </w:rPr>
        <w:t xml:space="preserve"> or other emergency, development, redevelopment and regeneration of an area or exceptional and compassionate grounds. In these circumstances, </w:t>
      </w:r>
      <w:r w:rsidR="00DE7525" w:rsidRPr="00E63DD5">
        <w:rPr>
          <w:rFonts w:ascii="Source Sans Pro" w:hAnsi="Source Sans Pro" w:cs="Tahoma"/>
          <w:sz w:val="24"/>
          <w:szCs w:val="24"/>
          <w:lang w:eastAsia="en-GB"/>
        </w:rPr>
        <w:t>the h</w:t>
      </w:r>
      <w:r w:rsidR="00681F9B" w:rsidRPr="00E63DD5">
        <w:rPr>
          <w:rFonts w:ascii="Source Sans Pro" w:hAnsi="Source Sans Pro" w:cs="Tahoma"/>
          <w:sz w:val="24"/>
          <w:szCs w:val="24"/>
          <w:lang w:eastAsia="en-GB"/>
        </w:rPr>
        <w:t xml:space="preserve">ousing </w:t>
      </w:r>
      <w:r w:rsidR="00DE7525" w:rsidRPr="00E63DD5">
        <w:rPr>
          <w:rFonts w:ascii="Source Sans Pro" w:hAnsi="Source Sans Pro" w:cs="Tahoma"/>
          <w:sz w:val="24"/>
          <w:szCs w:val="24"/>
          <w:lang w:eastAsia="en-GB"/>
        </w:rPr>
        <w:t>a</w:t>
      </w:r>
      <w:r w:rsidR="00681F9B" w:rsidRPr="00E63DD5">
        <w:rPr>
          <w:rFonts w:ascii="Source Sans Pro" w:hAnsi="Source Sans Pro" w:cs="Tahoma"/>
          <w:sz w:val="24"/>
          <w:szCs w:val="24"/>
          <w:lang w:eastAsia="en-GB"/>
        </w:rPr>
        <w:t xml:space="preserve">uthority </w:t>
      </w:r>
      <w:r w:rsidRPr="00E63DD5">
        <w:rPr>
          <w:rFonts w:ascii="Source Sans Pro" w:hAnsi="Source Sans Pro" w:cs="Tahoma"/>
          <w:sz w:val="24"/>
          <w:szCs w:val="24"/>
          <w:lang w:eastAsia="en-GB"/>
        </w:rPr>
        <w:t xml:space="preserve">does not need to offer the household accommodation in their area of choice for it to be </w:t>
      </w:r>
      <w:r w:rsidR="00D66395" w:rsidRPr="00E63DD5">
        <w:rPr>
          <w:rFonts w:ascii="Source Sans Pro" w:hAnsi="Source Sans Pro" w:cs="Tahoma"/>
          <w:sz w:val="24"/>
          <w:szCs w:val="24"/>
          <w:lang w:eastAsia="en-GB"/>
        </w:rPr>
        <w:t>considered a</w:t>
      </w:r>
      <w:r w:rsidRPr="00E63DD5">
        <w:rPr>
          <w:rFonts w:ascii="Source Sans Pro" w:hAnsi="Source Sans Pro" w:cs="Tahoma"/>
          <w:sz w:val="24"/>
          <w:szCs w:val="24"/>
          <w:lang w:eastAsia="en-GB"/>
        </w:rPr>
        <w:t xml:space="preserve"> reasonable offer. </w:t>
      </w:r>
      <w:r w:rsidR="00D01FCB" w:rsidRPr="00E63DD5">
        <w:rPr>
          <w:rFonts w:ascii="Source Sans Pro" w:hAnsi="Source Sans Pro" w:cs="Tahoma"/>
          <w:sz w:val="24"/>
          <w:szCs w:val="24"/>
          <w:lang w:eastAsia="en-GB"/>
        </w:rPr>
        <w:t xml:space="preserve"> Households will not be </w:t>
      </w:r>
      <w:proofErr w:type="spellStart"/>
      <w:r w:rsidR="00D01FCB" w:rsidRPr="00E63DD5">
        <w:rPr>
          <w:rFonts w:ascii="Source Sans Pro" w:hAnsi="Source Sans Pro" w:cs="Tahoma"/>
          <w:sz w:val="24"/>
          <w:szCs w:val="24"/>
          <w:lang w:eastAsia="en-GB"/>
        </w:rPr>
        <w:t>penalised</w:t>
      </w:r>
      <w:proofErr w:type="spellEnd"/>
      <w:r w:rsidR="00D01FCB" w:rsidRPr="00E63DD5">
        <w:rPr>
          <w:rFonts w:ascii="Source Sans Pro" w:hAnsi="Source Sans Pro" w:cs="Tahoma"/>
          <w:sz w:val="24"/>
          <w:szCs w:val="24"/>
          <w:lang w:eastAsia="en-GB"/>
        </w:rPr>
        <w:t xml:space="preserve"> for refusing an initial offer if the offer is deemed to be a reasonable refusal. </w:t>
      </w:r>
    </w:p>
    <w:p w14:paraId="295273EB" w14:textId="77777777" w:rsidR="00584FC0" w:rsidRPr="00E63DD5" w:rsidRDefault="00584FC0" w:rsidP="00D01FCB">
      <w:pPr>
        <w:autoSpaceDE w:val="0"/>
        <w:autoSpaceDN w:val="0"/>
        <w:adjustRightInd w:val="0"/>
        <w:rPr>
          <w:rFonts w:ascii="Source Sans Pro" w:hAnsi="Source Sans Pro" w:cs="Tahoma"/>
          <w:sz w:val="24"/>
          <w:szCs w:val="24"/>
          <w:lang w:eastAsia="en-GB"/>
        </w:rPr>
      </w:pPr>
    </w:p>
    <w:p w14:paraId="5B35BBD0" w14:textId="77777777" w:rsidR="00EF5787" w:rsidRPr="00E63DD5" w:rsidRDefault="00584FC0" w:rsidP="000E0D33">
      <w:pPr>
        <w:rPr>
          <w:rFonts w:ascii="Source Sans Pro" w:hAnsi="Source Sans Pro" w:cs="Tahoma"/>
          <w:sz w:val="24"/>
          <w:szCs w:val="24"/>
          <w:lang w:val="en-GB"/>
        </w:rPr>
      </w:pPr>
      <w:r w:rsidRPr="00E63DD5">
        <w:rPr>
          <w:rFonts w:ascii="Source Sans Pro" w:hAnsi="Source Sans Pro" w:cs="Tahoma"/>
          <w:sz w:val="24"/>
          <w:szCs w:val="24"/>
          <w:lang w:val="en-GB"/>
        </w:rPr>
        <w:t>The Refusal Policy will also apply to applicants for a Transfer.</w:t>
      </w:r>
    </w:p>
    <w:p w14:paraId="3772F24E" w14:textId="77777777" w:rsidR="005C5EAF" w:rsidRPr="00E63DD5" w:rsidRDefault="005C5EAF" w:rsidP="000E0D33">
      <w:pPr>
        <w:rPr>
          <w:rFonts w:ascii="Source Sans Pro" w:hAnsi="Source Sans Pro" w:cs="Tahoma"/>
          <w:sz w:val="24"/>
          <w:szCs w:val="24"/>
          <w:lang w:val="en-GB"/>
        </w:rPr>
      </w:pPr>
    </w:p>
    <w:p w14:paraId="4FC668B6" w14:textId="77777777" w:rsidR="0086237D" w:rsidRPr="00E63DD5" w:rsidRDefault="0086237D" w:rsidP="000E0D33">
      <w:pPr>
        <w:rPr>
          <w:rFonts w:ascii="Source Sans Pro" w:hAnsi="Source Sans Pro" w:cs="Tahoma"/>
          <w:b/>
          <w:sz w:val="24"/>
          <w:szCs w:val="24"/>
          <w:lang w:val="en-GB"/>
        </w:rPr>
      </w:pPr>
      <w:r w:rsidRPr="00E63DD5">
        <w:rPr>
          <w:rFonts w:ascii="Source Sans Pro" w:hAnsi="Source Sans Pro" w:cs="Tahoma"/>
          <w:b/>
          <w:sz w:val="24"/>
          <w:szCs w:val="24"/>
          <w:lang w:val="en-GB"/>
        </w:rPr>
        <w:t>Refusal of an Offer made under Choice Based Letting (CBL)</w:t>
      </w:r>
    </w:p>
    <w:p w14:paraId="09ABE7CF" w14:textId="77777777" w:rsidR="005C5EAF" w:rsidRPr="00E63DD5" w:rsidRDefault="005C5EAF" w:rsidP="000E0D33">
      <w:pPr>
        <w:rPr>
          <w:rFonts w:ascii="Source Sans Pro" w:hAnsi="Source Sans Pro" w:cs="Tahoma"/>
          <w:sz w:val="24"/>
          <w:szCs w:val="24"/>
          <w:lang w:val="en-GB"/>
        </w:rPr>
      </w:pPr>
      <w:r w:rsidRPr="00E63DD5">
        <w:rPr>
          <w:rFonts w:ascii="Source Sans Pro" w:hAnsi="Source Sans Pro" w:cs="Tahoma"/>
          <w:sz w:val="24"/>
          <w:szCs w:val="24"/>
          <w:lang w:val="en-GB"/>
        </w:rPr>
        <w:t>The Refusal of an Offer made under C</w:t>
      </w:r>
      <w:r w:rsidR="0086237D" w:rsidRPr="00E63DD5">
        <w:rPr>
          <w:rFonts w:ascii="Source Sans Pro" w:hAnsi="Source Sans Pro" w:cs="Tahoma"/>
          <w:sz w:val="24"/>
          <w:szCs w:val="24"/>
          <w:lang w:val="en-GB"/>
        </w:rPr>
        <w:t>BL</w:t>
      </w:r>
      <w:r w:rsidRPr="00E63DD5">
        <w:rPr>
          <w:rFonts w:ascii="Source Sans Pro" w:hAnsi="Source Sans Pro" w:cs="Tahoma"/>
          <w:sz w:val="24"/>
          <w:szCs w:val="24"/>
          <w:lang w:val="en-GB"/>
        </w:rPr>
        <w:t xml:space="preserve"> will not be counted as a refusal for the purposes of the above/general refusals policy.  However, the refusal of a </w:t>
      </w:r>
      <w:proofErr w:type="gramStart"/>
      <w:r w:rsidRPr="00E63DD5">
        <w:rPr>
          <w:rFonts w:ascii="Source Sans Pro" w:hAnsi="Source Sans Pro" w:cs="Tahoma"/>
          <w:sz w:val="24"/>
          <w:szCs w:val="24"/>
          <w:lang w:val="en-GB"/>
        </w:rPr>
        <w:t>Property</w:t>
      </w:r>
      <w:proofErr w:type="gramEnd"/>
      <w:r w:rsidRPr="00E63DD5">
        <w:rPr>
          <w:rFonts w:ascii="Source Sans Pro" w:hAnsi="Source Sans Pro" w:cs="Tahoma"/>
          <w:sz w:val="24"/>
          <w:szCs w:val="24"/>
          <w:lang w:val="en-GB"/>
        </w:rPr>
        <w:t xml:space="preserve"> following a</w:t>
      </w:r>
      <w:r w:rsidR="00790C0C" w:rsidRPr="00E63DD5">
        <w:rPr>
          <w:rFonts w:ascii="Source Sans Pro" w:hAnsi="Source Sans Pro" w:cs="Tahoma"/>
          <w:sz w:val="24"/>
          <w:szCs w:val="24"/>
          <w:lang w:val="en-GB"/>
        </w:rPr>
        <w:t xml:space="preserve"> reasonable</w:t>
      </w:r>
      <w:r w:rsidRPr="00E63DD5">
        <w:rPr>
          <w:rFonts w:ascii="Source Sans Pro" w:hAnsi="Source Sans Pro" w:cs="Tahoma"/>
          <w:sz w:val="24"/>
          <w:szCs w:val="24"/>
          <w:lang w:val="en-GB"/>
        </w:rPr>
        <w:t xml:space="preserve"> offer under CBL will mean that the household concerned will not be considered for another CBL offer for a period of 12 months</w:t>
      </w:r>
    </w:p>
    <w:p w14:paraId="22E8B3F0" w14:textId="77777777" w:rsidR="00322103" w:rsidRPr="00E63DD5" w:rsidRDefault="00322103" w:rsidP="000E0D33">
      <w:pPr>
        <w:rPr>
          <w:rFonts w:ascii="Source Sans Pro" w:hAnsi="Source Sans Pro" w:cs="Tahoma"/>
          <w:sz w:val="24"/>
          <w:szCs w:val="24"/>
        </w:rPr>
      </w:pPr>
    </w:p>
    <w:p w14:paraId="544BB974" w14:textId="77777777" w:rsidR="007E1E39" w:rsidRPr="00E63DD5" w:rsidRDefault="002979EB" w:rsidP="00EF5787">
      <w:pPr>
        <w:autoSpaceDE w:val="0"/>
        <w:autoSpaceDN w:val="0"/>
        <w:adjustRightInd w:val="0"/>
        <w:rPr>
          <w:rFonts w:ascii="Source Sans Pro" w:hAnsi="Source Sans Pro" w:cs="Tahoma"/>
          <w:b/>
          <w:sz w:val="24"/>
          <w:szCs w:val="24"/>
          <w:lang w:eastAsia="en-GB"/>
        </w:rPr>
      </w:pPr>
      <w:r w:rsidRPr="00E63DD5">
        <w:rPr>
          <w:rFonts w:ascii="Source Sans Pro" w:hAnsi="Source Sans Pro" w:cs="Tahoma"/>
          <w:b/>
          <w:sz w:val="24"/>
          <w:szCs w:val="24"/>
          <w:lang w:eastAsia="en-GB"/>
        </w:rPr>
        <w:t xml:space="preserve">Part II - </w:t>
      </w:r>
      <w:r w:rsidR="007E1E39" w:rsidRPr="00E63DD5">
        <w:rPr>
          <w:rFonts w:ascii="Source Sans Pro" w:hAnsi="Source Sans Pro" w:cs="Tahoma"/>
          <w:b/>
          <w:sz w:val="24"/>
          <w:szCs w:val="24"/>
          <w:lang w:eastAsia="en-GB"/>
        </w:rPr>
        <w:t>R</w:t>
      </w:r>
      <w:r w:rsidR="00FE2AAC" w:rsidRPr="00E63DD5">
        <w:rPr>
          <w:rFonts w:ascii="Source Sans Pro" w:hAnsi="Source Sans Pro" w:cs="Tahoma"/>
          <w:b/>
          <w:sz w:val="24"/>
          <w:szCs w:val="24"/>
          <w:lang w:eastAsia="en-GB"/>
        </w:rPr>
        <w:t>efusal of Housing Authority to A</w:t>
      </w:r>
      <w:r w:rsidR="007E1E39" w:rsidRPr="00E63DD5">
        <w:rPr>
          <w:rFonts w:ascii="Source Sans Pro" w:hAnsi="Source Sans Pro" w:cs="Tahoma"/>
          <w:b/>
          <w:sz w:val="24"/>
          <w:szCs w:val="24"/>
          <w:lang w:eastAsia="en-GB"/>
        </w:rPr>
        <w:t xml:space="preserve">llocate </w:t>
      </w:r>
    </w:p>
    <w:p w14:paraId="78168AFA" w14:textId="77777777" w:rsidR="00EF5787" w:rsidRPr="00E63DD5" w:rsidRDefault="00EF5787" w:rsidP="00EF5787">
      <w:p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 xml:space="preserve">Notwithstanding the provisions of the Scheme in regard to an applicant’s entitlement to be considered for accommodation, the housing authority may in </w:t>
      </w:r>
      <w:proofErr w:type="gramStart"/>
      <w:r w:rsidRPr="00E63DD5">
        <w:rPr>
          <w:rFonts w:ascii="Source Sans Pro" w:hAnsi="Source Sans Pro" w:cs="Tahoma"/>
          <w:sz w:val="24"/>
          <w:szCs w:val="24"/>
          <w:lang w:eastAsia="en-GB"/>
        </w:rPr>
        <w:t>exceptional</w:t>
      </w:r>
      <w:proofErr w:type="gramEnd"/>
      <w:r w:rsidRPr="00E63DD5">
        <w:rPr>
          <w:rFonts w:ascii="Source Sans Pro" w:hAnsi="Source Sans Pro" w:cs="Tahoma"/>
          <w:sz w:val="24"/>
          <w:szCs w:val="24"/>
          <w:lang w:eastAsia="en-GB"/>
        </w:rPr>
        <w:t xml:space="preserve"> </w:t>
      </w:r>
    </w:p>
    <w:p w14:paraId="13DE91FB" w14:textId="77777777" w:rsidR="00EF5787" w:rsidRPr="00E63DD5" w:rsidRDefault="00EF5787" w:rsidP="00EF5787">
      <w:p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 xml:space="preserve">circumstances refuse to allocate, or defer to allocate a dwelling where it considers any of the following apply: </w:t>
      </w:r>
    </w:p>
    <w:p w14:paraId="5C931915" w14:textId="77777777" w:rsidR="00EF5787" w:rsidRPr="00E63DD5" w:rsidRDefault="00EF5787" w:rsidP="00EF5787">
      <w:pPr>
        <w:autoSpaceDE w:val="0"/>
        <w:autoSpaceDN w:val="0"/>
        <w:adjustRightInd w:val="0"/>
        <w:rPr>
          <w:rFonts w:ascii="Source Sans Pro" w:hAnsi="Source Sans Pro" w:cs="Tahoma"/>
          <w:sz w:val="24"/>
          <w:szCs w:val="24"/>
          <w:lang w:eastAsia="en-GB"/>
        </w:rPr>
      </w:pPr>
    </w:p>
    <w:p w14:paraId="12361EBC" w14:textId="77777777" w:rsidR="00EF5787" w:rsidRPr="00E63DD5" w:rsidRDefault="00EF5787" w:rsidP="00EF5787">
      <w:pPr>
        <w:pStyle w:val="ListParagraph"/>
        <w:numPr>
          <w:ilvl w:val="0"/>
          <w:numId w:val="11"/>
        </w:num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the person is or has been convicted of engaging in anti-social</w:t>
      </w:r>
      <w:r w:rsidRPr="00E63DD5">
        <w:rPr>
          <w:rFonts w:ascii="Source Sans Pro" w:hAnsi="Source Sans Pro" w:cs="Tahoma"/>
          <w:sz w:val="24"/>
          <w:szCs w:val="24"/>
          <w:lang w:val="en-GB" w:eastAsia="en-GB"/>
        </w:rPr>
        <w:t xml:space="preserve"> behaviour</w:t>
      </w:r>
      <w:r w:rsidRPr="00E63DD5">
        <w:rPr>
          <w:rFonts w:ascii="Source Sans Pro" w:hAnsi="Source Sans Pro" w:cs="Tahoma"/>
          <w:sz w:val="24"/>
          <w:szCs w:val="24"/>
          <w:lang w:eastAsia="en-GB"/>
        </w:rPr>
        <w:t xml:space="preserve"> as defined under Government legislation,</w:t>
      </w:r>
    </w:p>
    <w:p w14:paraId="4145DF8C" w14:textId="77777777" w:rsidR="00EF5787" w:rsidRPr="00E63DD5" w:rsidRDefault="00EF5787" w:rsidP="00EF5787">
      <w:pPr>
        <w:pStyle w:val="ListParagraph"/>
        <w:numPr>
          <w:ilvl w:val="0"/>
          <w:numId w:val="11"/>
        </w:num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 xml:space="preserve">that a letting to that person would not be in the interest of good estate management, </w:t>
      </w:r>
    </w:p>
    <w:p w14:paraId="309DE21D" w14:textId="77777777" w:rsidR="00EF5787" w:rsidRPr="00E63DD5" w:rsidRDefault="00EF5787" w:rsidP="00EF5787">
      <w:pPr>
        <w:pStyle w:val="ListParagraph"/>
        <w:numPr>
          <w:ilvl w:val="0"/>
          <w:numId w:val="11"/>
        </w:num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 xml:space="preserve">on the grounds of promoting social inclusion </w:t>
      </w:r>
    </w:p>
    <w:p w14:paraId="33F84DB9" w14:textId="77777777" w:rsidR="00EF5787" w:rsidRPr="00E63DD5" w:rsidRDefault="00EF5787" w:rsidP="00EF5787">
      <w:pPr>
        <w:pStyle w:val="ListParagraph"/>
        <w:numPr>
          <w:ilvl w:val="0"/>
          <w:numId w:val="11"/>
        </w:num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on the grounds of counteracting social segregation</w:t>
      </w:r>
    </w:p>
    <w:p w14:paraId="57CA8E38" w14:textId="77777777" w:rsidR="00EF5787" w:rsidRPr="00E63DD5" w:rsidRDefault="00EF5787" w:rsidP="00EF5787">
      <w:pPr>
        <w:pStyle w:val="ListParagraph"/>
        <w:numPr>
          <w:ilvl w:val="0"/>
          <w:numId w:val="11"/>
        </w:num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 xml:space="preserve">where it has been assessed that a person’s accommodation needs cannot appropriately be met, at that point in time, through independent </w:t>
      </w:r>
      <w:proofErr w:type="gramStart"/>
      <w:r w:rsidRPr="00E63DD5">
        <w:rPr>
          <w:rFonts w:ascii="Source Sans Pro" w:hAnsi="Source Sans Pro" w:cs="Tahoma"/>
          <w:sz w:val="24"/>
          <w:szCs w:val="24"/>
          <w:lang w:eastAsia="en-GB"/>
        </w:rPr>
        <w:t>living</w:t>
      </w:r>
      <w:proofErr w:type="gramEnd"/>
      <w:r w:rsidRPr="00E63DD5">
        <w:rPr>
          <w:rFonts w:ascii="Source Sans Pro" w:hAnsi="Source Sans Pro" w:cs="Tahoma"/>
          <w:sz w:val="24"/>
          <w:szCs w:val="24"/>
          <w:lang w:eastAsia="en-GB"/>
        </w:rPr>
        <w:t xml:space="preserve"> </w:t>
      </w:r>
    </w:p>
    <w:p w14:paraId="10BED649" w14:textId="77777777" w:rsidR="002979EB" w:rsidRPr="00E63DD5" w:rsidRDefault="002979EB" w:rsidP="00EF5787">
      <w:pPr>
        <w:autoSpaceDE w:val="0"/>
        <w:autoSpaceDN w:val="0"/>
        <w:adjustRightInd w:val="0"/>
        <w:rPr>
          <w:rFonts w:ascii="Source Sans Pro" w:hAnsi="Source Sans Pro" w:cs="Tahoma"/>
          <w:b/>
          <w:sz w:val="24"/>
          <w:szCs w:val="24"/>
          <w:lang w:eastAsia="en-GB"/>
        </w:rPr>
      </w:pPr>
    </w:p>
    <w:p w14:paraId="042F5D21" w14:textId="77777777" w:rsidR="00EF5787" w:rsidRPr="00E63DD5" w:rsidRDefault="00FE2AAC" w:rsidP="00EF5787">
      <w:pPr>
        <w:autoSpaceDE w:val="0"/>
        <w:autoSpaceDN w:val="0"/>
        <w:adjustRightInd w:val="0"/>
        <w:rPr>
          <w:rFonts w:ascii="Source Sans Pro" w:hAnsi="Source Sans Pro" w:cs="Tahoma"/>
          <w:b/>
          <w:sz w:val="24"/>
          <w:szCs w:val="24"/>
          <w:lang w:eastAsia="en-GB"/>
        </w:rPr>
      </w:pPr>
      <w:r w:rsidRPr="00E63DD5">
        <w:rPr>
          <w:rFonts w:ascii="Source Sans Pro" w:hAnsi="Source Sans Pro" w:cs="Tahoma"/>
          <w:b/>
          <w:sz w:val="24"/>
          <w:szCs w:val="24"/>
          <w:lang w:eastAsia="en-GB"/>
        </w:rPr>
        <w:t>The h</w:t>
      </w:r>
      <w:r w:rsidR="00EF5787" w:rsidRPr="00E63DD5">
        <w:rPr>
          <w:rFonts w:ascii="Source Sans Pro" w:hAnsi="Source Sans Pro" w:cs="Tahoma"/>
          <w:b/>
          <w:sz w:val="24"/>
          <w:szCs w:val="24"/>
          <w:lang w:eastAsia="en-GB"/>
        </w:rPr>
        <w:t xml:space="preserve">ousing </w:t>
      </w:r>
      <w:r w:rsidRPr="00E63DD5">
        <w:rPr>
          <w:rFonts w:ascii="Source Sans Pro" w:hAnsi="Source Sans Pro" w:cs="Tahoma"/>
          <w:b/>
          <w:sz w:val="24"/>
          <w:szCs w:val="24"/>
          <w:lang w:eastAsia="en-GB"/>
        </w:rPr>
        <w:t>a</w:t>
      </w:r>
      <w:r w:rsidR="00EF5787" w:rsidRPr="00E63DD5">
        <w:rPr>
          <w:rFonts w:ascii="Source Sans Pro" w:hAnsi="Source Sans Pro" w:cs="Tahoma"/>
          <w:b/>
          <w:sz w:val="24"/>
          <w:szCs w:val="24"/>
          <w:lang w:eastAsia="en-GB"/>
        </w:rPr>
        <w:t xml:space="preserve">uthority may also refuse to allocate a dwelling in cases where an applicant: - </w:t>
      </w:r>
    </w:p>
    <w:p w14:paraId="28146DB7" w14:textId="77777777" w:rsidR="00EF5787" w:rsidRPr="00E63DD5" w:rsidRDefault="00EF5787" w:rsidP="00EF5787">
      <w:pPr>
        <w:pStyle w:val="BodyTextIndent2"/>
        <w:numPr>
          <w:ilvl w:val="0"/>
          <w:numId w:val="12"/>
        </w:numPr>
        <w:spacing w:line="240" w:lineRule="auto"/>
        <w:rPr>
          <w:rFonts w:ascii="Source Sans Pro" w:hAnsi="Source Sans Pro" w:cs="Tahoma"/>
          <w:sz w:val="24"/>
          <w:szCs w:val="24"/>
        </w:rPr>
      </w:pPr>
      <w:r w:rsidRPr="00E63DD5">
        <w:rPr>
          <w:rFonts w:ascii="Source Sans Pro" w:hAnsi="Source Sans Pro" w:cs="Tahoma"/>
          <w:sz w:val="24"/>
          <w:szCs w:val="24"/>
        </w:rPr>
        <w:lastRenderedPageBreak/>
        <w:t xml:space="preserve">refuses to disclose any information which is requested by the housing authority either on the application form or at subsequent interviews and which is required either for the purpose of assessing the application or for estate management purposes. </w:t>
      </w:r>
    </w:p>
    <w:p w14:paraId="32C1DE32" w14:textId="77777777" w:rsidR="00EF5787" w:rsidRPr="00E63DD5" w:rsidRDefault="00EF5787" w:rsidP="00EF5787">
      <w:pPr>
        <w:pStyle w:val="ListParagraph"/>
        <w:numPr>
          <w:ilvl w:val="0"/>
          <w:numId w:val="12"/>
        </w:numPr>
        <w:autoSpaceDE w:val="0"/>
        <w:autoSpaceDN w:val="0"/>
        <w:adjustRightInd w:val="0"/>
        <w:rPr>
          <w:rFonts w:ascii="Source Sans Pro" w:hAnsi="Source Sans Pro" w:cs="Tahoma"/>
          <w:sz w:val="24"/>
          <w:szCs w:val="24"/>
          <w:lang w:eastAsia="en-GB"/>
        </w:rPr>
      </w:pPr>
      <w:r w:rsidRPr="00E63DD5">
        <w:rPr>
          <w:rFonts w:ascii="Source Sans Pro" w:hAnsi="Source Sans Pro" w:cs="Tahoma"/>
          <w:sz w:val="24"/>
          <w:szCs w:val="24"/>
          <w:lang w:eastAsia="en-GB"/>
        </w:rPr>
        <w:t>will not</w:t>
      </w:r>
      <w:r w:rsidRPr="00E63DD5">
        <w:rPr>
          <w:rFonts w:ascii="Source Sans Pro" w:hAnsi="Source Sans Pro" w:cs="Tahoma"/>
          <w:sz w:val="24"/>
          <w:szCs w:val="24"/>
          <w:lang w:val="en-GB" w:eastAsia="en-GB"/>
        </w:rPr>
        <w:t xml:space="preserve"> authorise</w:t>
      </w:r>
      <w:r w:rsidRPr="00E63DD5">
        <w:rPr>
          <w:rFonts w:ascii="Source Sans Pro" w:hAnsi="Source Sans Pro" w:cs="Tahoma"/>
          <w:sz w:val="24"/>
          <w:szCs w:val="24"/>
          <w:lang w:eastAsia="en-GB"/>
        </w:rPr>
        <w:t xml:space="preserve"> the provision of data/information on the applicant by other agencies where this data/information is required by the housing authority for estate management purposes, or </w:t>
      </w:r>
    </w:p>
    <w:p w14:paraId="52760066" w14:textId="77777777" w:rsidR="00EF5787" w:rsidRPr="00E63DD5" w:rsidRDefault="00EF5787" w:rsidP="00EF5787">
      <w:pPr>
        <w:pStyle w:val="ListParagraph"/>
        <w:widowControl w:val="0"/>
        <w:numPr>
          <w:ilvl w:val="0"/>
          <w:numId w:val="12"/>
        </w:numPr>
        <w:autoSpaceDE w:val="0"/>
        <w:autoSpaceDN w:val="0"/>
        <w:adjustRightInd w:val="0"/>
        <w:ind w:right="368"/>
        <w:rPr>
          <w:rFonts w:ascii="Source Sans Pro" w:hAnsi="Source Sans Pro" w:cs="Tahoma"/>
          <w:sz w:val="24"/>
          <w:szCs w:val="24"/>
          <w:lang w:eastAsia="en-GB"/>
        </w:rPr>
      </w:pPr>
      <w:r w:rsidRPr="00E63DD5">
        <w:rPr>
          <w:rFonts w:ascii="Source Sans Pro" w:hAnsi="Source Sans Pro" w:cs="Tahoma"/>
          <w:sz w:val="24"/>
          <w:szCs w:val="24"/>
          <w:lang w:eastAsia="en-GB"/>
        </w:rPr>
        <w:t>provides false or misleading information at any stage in the assessment or allocation process.</w:t>
      </w:r>
    </w:p>
    <w:p w14:paraId="13FA39E6" w14:textId="77777777" w:rsidR="0034586E" w:rsidRPr="00E63DD5" w:rsidRDefault="0034586E" w:rsidP="00E50C63">
      <w:pPr>
        <w:rPr>
          <w:rFonts w:ascii="Source Sans Pro" w:hAnsi="Source Sans Pro" w:cs="Tahoma"/>
          <w:b/>
          <w:sz w:val="24"/>
          <w:szCs w:val="24"/>
          <w:lang w:val="en-GB"/>
        </w:rPr>
      </w:pPr>
    </w:p>
    <w:p w14:paraId="018BF52A" w14:textId="77777777" w:rsidR="0086237D" w:rsidRPr="00E63DD5" w:rsidRDefault="0086237D" w:rsidP="00E50C63">
      <w:pPr>
        <w:rPr>
          <w:rFonts w:ascii="Source Sans Pro" w:hAnsi="Source Sans Pro" w:cs="Tahoma"/>
          <w:b/>
          <w:sz w:val="24"/>
          <w:szCs w:val="24"/>
          <w:lang w:val="en-GB"/>
        </w:rPr>
      </w:pPr>
    </w:p>
    <w:p w14:paraId="7149001B" w14:textId="77777777" w:rsidR="009B3117" w:rsidRPr="00E63DD5" w:rsidRDefault="002979EB" w:rsidP="00E50C63">
      <w:pPr>
        <w:rPr>
          <w:rFonts w:ascii="Source Sans Pro" w:hAnsi="Source Sans Pro" w:cs="Tahoma"/>
          <w:b/>
          <w:sz w:val="24"/>
          <w:szCs w:val="24"/>
          <w:lang w:val="en-GB"/>
        </w:rPr>
      </w:pPr>
      <w:r w:rsidRPr="00E63DD5">
        <w:rPr>
          <w:rFonts w:ascii="Source Sans Pro" w:hAnsi="Source Sans Pro" w:cs="Tahoma"/>
          <w:b/>
          <w:sz w:val="24"/>
          <w:szCs w:val="24"/>
          <w:lang w:val="en-GB"/>
        </w:rPr>
        <w:t>(</w:t>
      </w:r>
      <w:r w:rsidR="0086237D" w:rsidRPr="00E63DD5">
        <w:rPr>
          <w:rFonts w:ascii="Source Sans Pro" w:hAnsi="Source Sans Pro" w:cs="Tahoma"/>
          <w:b/>
          <w:sz w:val="24"/>
          <w:szCs w:val="24"/>
          <w:lang w:val="en-GB"/>
        </w:rPr>
        <w:t>K</w:t>
      </w:r>
      <w:r w:rsidR="00416028" w:rsidRPr="00E63DD5">
        <w:rPr>
          <w:rFonts w:ascii="Source Sans Pro" w:hAnsi="Source Sans Pro" w:cs="Tahoma"/>
          <w:b/>
          <w:sz w:val="24"/>
          <w:szCs w:val="24"/>
          <w:lang w:val="en-GB"/>
        </w:rPr>
        <w:t>)</w:t>
      </w:r>
      <w:r w:rsidRPr="00E63DD5">
        <w:rPr>
          <w:rFonts w:ascii="Source Sans Pro" w:hAnsi="Source Sans Pro" w:cs="Tahoma"/>
          <w:b/>
          <w:sz w:val="24"/>
          <w:szCs w:val="24"/>
          <w:lang w:val="en-GB"/>
        </w:rPr>
        <w:t>Transfers</w:t>
      </w:r>
    </w:p>
    <w:p w14:paraId="18960053" w14:textId="77777777" w:rsidR="00E50C63" w:rsidRPr="00E63DD5" w:rsidRDefault="00E50C63" w:rsidP="00E50C63">
      <w:pPr>
        <w:rPr>
          <w:rFonts w:ascii="Source Sans Pro" w:hAnsi="Source Sans Pro" w:cs="Tahoma"/>
          <w:sz w:val="24"/>
          <w:szCs w:val="24"/>
          <w:lang w:val="en-GB"/>
        </w:rPr>
      </w:pPr>
      <w:r w:rsidRPr="00E63DD5">
        <w:rPr>
          <w:rFonts w:ascii="Source Sans Pro" w:hAnsi="Source Sans Pro" w:cs="Tahoma"/>
          <w:sz w:val="24"/>
          <w:szCs w:val="24"/>
          <w:lang w:val="en-GB"/>
        </w:rPr>
        <w:t xml:space="preserve">Tenants of the </w:t>
      </w:r>
      <w:r w:rsidR="00FE2AAC" w:rsidRPr="00E63DD5">
        <w:rPr>
          <w:rFonts w:ascii="Source Sans Pro" w:hAnsi="Source Sans Pro" w:cs="Tahoma"/>
          <w:sz w:val="24"/>
          <w:szCs w:val="24"/>
          <w:lang w:val="en-GB"/>
        </w:rPr>
        <w:t>housing a</w:t>
      </w:r>
      <w:r w:rsidR="00681F9B" w:rsidRPr="00E63DD5">
        <w:rPr>
          <w:rFonts w:ascii="Source Sans Pro" w:hAnsi="Source Sans Pro" w:cs="Tahoma"/>
          <w:sz w:val="24"/>
          <w:szCs w:val="24"/>
          <w:lang w:val="en-GB"/>
        </w:rPr>
        <w:t>uthority</w:t>
      </w:r>
      <w:r w:rsidRPr="00E63DD5">
        <w:rPr>
          <w:rFonts w:ascii="Source Sans Pro" w:hAnsi="Source Sans Pro" w:cs="Tahoma"/>
          <w:sz w:val="24"/>
          <w:szCs w:val="24"/>
          <w:lang w:val="en-GB"/>
        </w:rPr>
        <w:t>,</w:t>
      </w:r>
      <w:r w:rsidR="00681F9B" w:rsidRPr="00E63DD5">
        <w:rPr>
          <w:rFonts w:ascii="Source Sans Pro" w:hAnsi="Source Sans Pro" w:cs="Tahoma"/>
          <w:sz w:val="24"/>
          <w:szCs w:val="24"/>
          <w:lang w:val="en-GB"/>
        </w:rPr>
        <w:t xml:space="preserve"> </w:t>
      </w:r>
      <w:r w:rsidRPr="00E63DD5">
        <w:rPr>
          <w:rFonts w:ascii="Source Sans Pro" w:hAnsi="Source Sans Pro" w:cs="Tahoma"/>
          <w:sz w:val="24"/>
          <w:szCs w:val="24"/>
          <w:lang w:val="en-GB"/>
        </w:rPr>
        <w:t>including tenants of dwellings provided under the Social Housing Leasing Initiative, RAS, or by AHB’s may apply for consideration for a transfer to other dwellings, under the following circumstances -</w:t>
      </w:r>
    </w:p>
    <w:p w14:paraId="4D97408D" w14:textId="77777777" w:rsidR="009B3117" w:rsidRPr="00E63DD5" w:rsidRDefault="009B3117" w:rsidP="000E0D33">
      <w:pPr>
        <w:rPr>
          <w:rFonts w:ascii="Source Sans Pro" w:hAnsi="Source Sans Pro" w:cs="Tahoma"/>
          <w:sz w:val="24"/>
          <w:szCs w:val="24"/>
          <w:lang w:val="en-GB"/>
        </w:rPr>
      </w:pPr>
    </w:p>
    <w:p w14:paraId="3E94373E" w14:textId="77777777" w:rsidR="009B3117" w:rsidRPr="00E63DD5" w:rsidRDefault="009B3117" w:rsidP="009B3117">
      <w:pPr>
        <w:pStyle w:val="ListParagraph"/>
        <w:numPr>
          <w:ilvl w:val="0"/>
          <w:numId w:val="5"/>
        </w:numPr>
        <w:rPr>
          <w:rFonts w:ascii="Source Sans Pro" w:hAnsi="Source Sans Pro" w:cs="Tahoma"/>
          <w:sz w:val="24"/>
          <w:szCs w:val="24"/>
          <w:lang w:val="en-GB"/>
        </w:rPr>
      </w:pPr>
      <w:r w:rsidRPr="00E63DD5">
        <w:rPr>
          <w:rFonts w:ascii="Source Sans Pro" w:hAnsi="Source Sans Pro" w:cs="Tahoma"/>
          <w:b/>
          <w:sz w:val="24"/>
          <w:szCs w:val="24"/>
          <w:lang w:val="en-GB"/>
        </w:rPr>
        <w:t>Down-sizing:</w:t>
      </w:r>
      <w:r w:rsidR="00681F9B" w:rsidRPr="00E63DD5">
        <w:rPr>
          <w:rFonts w:ascii="Source Sans Pro" w:hAnsi="Source Sans Pro" w:cs="Tahoma"/>
          <w:sz w:val="24"/>
          <w:szCs w:val="24"/>
          <w:lang w:val="en-GB"/>
        </w:rPr>
        <w:t xml:space="preserve"> – tenants who</w:t>
      </w:r>
      <w:r w:rsidRPr="00E63DD5">
        <w:rPr>
          <w:rFonts w:ascii="Source Sans Pro" w:hAnsi="Source Sans Pro" w:cs="Tahoma"/>
          <w:sz w:val="24"/>
          <w:szCs w:val="24"/>
          <w:lang w:val="en-GB"/>
        </w:rPr>
        <w:t xml:space="preserve"> wish to tra</w:t>
      </w:r>
      <w:r w:rsidR="00DE7525" w:rsidRPr="00E63DD5">
        <w:rPr>
          <w:rFonts w:ascii="Source Sans Pro" w:hAnsi="Source Sans Pro" w:cs="Tahoma"/>
          <w:sz w:val="24"/>
          <w:szCs w:val="24"/>
          <w:lang w:val="en-GB"/>
        </w:rPr>
        <w:t>nsfer to a smaller unit of housing</w:t>
      </w:r>
      <w:r w:rsidRPr="00E63DD5">
        <w:rPr>
          <w:rFonts w:ascii="Source Sans Pro" w:hAnsi="Source Sans Pro" w:cs="Tahoma"/>
          <w:sz w:val="24"/>
          <w:szCs w:val="24"/>
          <w:lang w:val="en-GB"/>
        </w:rPr>
        <w:t xml:space="preserve"> authority accommodation</w:t>
      </w:r>
      <w:r w:rsidR="002979EB" w:rsidRPr="00E63DD5">
        <w:rPr>
          <w:rFonts w:ascii="Source Sans Pro" w:hAnsi="Source Sans Pro" w:cs="Tahoma"/>
          <w:sz w:val="24"/>
          <w:szCs w:val="24"/>
          <w:lang w:val="en-GB"/>
        </w:rPr>
        <w:t>.</w:t>
      </w:r>
      <w:r w:rsidR="00547CAB" w:rsidRPr="00E63DD5">
        <w:rPr>
          <w:rFonts w:ascii="Source Sans Pro" w:hAnsi="Source Sans Pro" w:cs="Tahoma"/>
          <w:sz w:val="24"/>
          <w:szCs w:val="24"/>
          <w:lang w:val="en-GB"/>
        </w:rPr>
        <w:t xml:space="preserve"> </w:t>
      </w:r>
    </w:p>
    <w:p w14:paraId="57180D14" w14:textId="77777777" w:rsidR="007E1E39" w:rsidRPr="00E63DD5" w:rsidRDefault="007E1E39" w:rsidP="007E1E39">
      <w:pPr>
        <w:pStyle w:val="ListParagraph"/>
        <w:rPr>
          <w:rFonts w:ascii="Source Sans Pro" w:hAnsi="Source Sans Pro" w:cs="Tahoma"/>
          <w:sz w:val="24"/>
          <w:szCs w:val="24"/>
          <w:lang w:val="en-GB"/>
        </w:rPr>
      </w:pPr>
    </w:p>
    <w:p w14:paraId="50BAA403" w14:textId="77777777" w:rsidR="009B3117" w:rsidRPr="00E63DD5" w:rsidRDefault="009B3117" w:rsidP="009B3117">
      <w:pPr>
        <w:pStyle w:val="ListParagraph"/>
        <w:numPr>
          <w:ilvl w:val="0"/>
          <w:numId w:val="5"/>
        </w:numPr>
        <w:rPr>
          <w:rFonts w:ascii="Source Sans Pro" w:hAnsi="Source Sans Pro" w:cs="Tahoma"/>
          <w:sz w:val="24"/>
          <w:szCs w:val="24"/>
          <w:lang w:val="en-GB"/>
        </w:rPr>
      </w:pPr>
      <w:r w:rsidRPr="00E63DD5">
        <w:rPr>
          <w:rFonts w:ascii="Source Sans Pro" w:hAnsi="Source Sans Pro" w:cs="Tahoma"/>
          <w:b/>
          <w:sz w:val="24"/>
          <w:szCs w:val="24"/>
          <w:lang w:val="en-GB"/>
        </w:rPr>
        <w:t>Exceptional medical/</w:t>
      </w:r>
      <w:r w:rsidR="00F02F64" w:rsidRPr="00E63DD5">
        <w:rPr>
          <w:rFonts w:ascii="Source Sans Pro" w:hAnsi="Source Sans Pro" w:cs="Tahoma"/>
          <w:b/>
          <w:sz w:val="24"/>
          <w:szCs w:val="24"/>
          <w:lang w:val="en-GB"/>
        </w:rPr>
        <w:t xml:space="preserve">disability or </w:t>
      </w:r>
      <w:r w:rsidRPr="00E63DD5">
        <w:rPr>
          <w:rFonts w:ascii="Source Sans Pro" w:hAnsi="Source Sans Pro" w:cs="Tahoma"/>
          <w:b/>
          <w:sz w:val="24"/>
          <w:szCs w:val="24"/>
          <w:lang w:val="en-GB"/>
        </w:rPr>
        <w:t>compassionate grounds:</w:t>
      </w:r>
      <w:r w:rsidRPr="00E63DD5">
        <w:rPr>
          <w:rFonts w:ascii="Source Sans Pro" w:hAnsi="Source Sans Pro" w:cs="Tahoma"/>
          <w:sz w:val="24"/>
          <w:szCs w:val="24"/>
          <w:lang w:val="en-GB"/>
        </w:rPr>
        <w:t xml:space="preserve"> </w:t>
      </w:r>
      <w:r w:rsidR="002979EB" w:rsidRPr="00E63DD5">
        <w:rPr>
          <w:rFonts w:ascii="Source Sans Pro" w:hAnsi="Source Sans Pro" w:cs="Tahoma"/>
          <w:sz w:val="24"/>
          <w:szCs w:val="24"/>
          <w:lang w:val="en-GB"/>
        </w:rPr>
        <w:t xml:space="preserve">where </w:t>
      </w:r>
      <w:r w:rsidR="00F02F64" w:rsidRPr="00E63DD5">
        <w:rPr>
          <w:rFonts w:ascii="Source Sans Pro" w:hAnsi="Source Sans Pro" w:cs="Tahoma"/>
          <w:sz w:val="24"/>
          <w:szCs w:val="24"/>
          <w:lang w:val="en-GB"/>
        </w:rPr>
        <w:t>the tenan</w:t>
      </w:r>
      <w:r w:rsidR="002979EB" w:rsidRPr="00E63DD5">
        <w:rPr>
          <w:rFonts w:ascii="Source Sans Pro" w:hAnsi="Source Sans Pro" w:cs="Tahoma"/>
          <w:sz w:val="24"/>
          <w:szCs w:val="24"/>
          <w:lang w:val="en-GB"/>
        </w:rPr>
        <w:t xml:space="preserve">t has </w:t>
      </w:r>
      <w:r w:rsidR="00F02F64" w:rsidRPr="00E63DD5">
        <w:rPr>
          <w:rFonts w:ascii="Source Sans Pro" w:hAnsi="Source Sans Pro" w:cs="Tahoma"/>
          <w:sz w:val="24"/>
          <w:szCs w:val="24"/>
          <w:lang w:val="en-GB"/>
        </w:rPr>
        <w:t xml:space="preserve">a serious disability /medical condition or illness for </w:t>
      </w:r>
      <w:r w:rsidR="00D66395" w:rsidRPr="00E63DD5">
        <w:rPr>
          <w:rFonts w:ascii="Source Sans Pro" w:hAnsi="Source Sans Pro" w:cs="Tahoma"/>
          <w:sz w:val="24"/>
          <w:szCs w:val="24"/>
          <w:lang w:val="en-GB"/>
        </w:rPr>
        <w:t>which</w:t>
      </w:r>
      <w:r w:rsidR="00F02F64" w:rsidRPr="00E63DD5">
        <w:rPr>
          <w:rFonts w:ascii="Source Sans Pro" w:hAnsi="Source Sans Pro" w:cs="Tahoma"/>
          <w:sz w:val="24"/>
          <w:szCs w:val="24"/>
          <w:lang w:val="en-GB"/>
        </w:rPr>
        <w:t xml:space="preserve"> the allocation of a </w:t>
      </w:r>
      <w:r w:rsidR="00681F9B" w:rsidRPr="00E63DD5">
        <w:rPr>
          <w:rFonts w:ascii="Source Sans Pro" w:hAnsi="Source Sans Pro" w:cs="Tahoma"/>
          <w:sz w:val="24"/>
          <w:szCs w:val="24"/>
          <w:lang w:val="en-GB"/>
        </w:rPr>
        <w:t xml:space="preserve">transfer to an alternative housing </w:t>
      </w:r>
      <w:r w:rsidR="00F02F64" w:rsidRPr="00E63DD5">
        <w:rPr>
          <w:rFonts w:ascii="Source Sans Pro" w:hAnsi="Source Sans Pro" w:cs="Tahoma"/>
          <w:sz w:val="24"/>
          <w:szCs w:val="24"/>
          <w:lang w:val="en-GB"/>
        </w:rPr>
        <w:t>authority dwelling would improve the tenant’s medical condition</w:t>
      </w:r>
      <w:r w:rsidR="00DE7525" w:rsidRPr="00E63DD5">
        <w:rPr>
          <w:rFonts w:ascii="Source Sans Pro" w:hAnsi="Source Sans Pro" w:cs="Tahoma"/>
          <w:sz w:val="24"/>
          <w:szCs w:val="24"/>
          <w:lang w:val="en-GB"/>
        </w:rPr>
        <w:t>. T</w:t>
      </w:r>
      <w:r w:rsidR="002979EB" w:rsidRPr="00E63DD5">
        <w:rPr>
          <w:rFonts w:ascii="Source Sans Pro" w:hAnsi="Source Sans Pro" w:cs="Tahoma"/>
          <w:sz w:val="24"/>
          <w:szCs w:val="24"/>
          <w:lang w:val="en-GB"/>
        </w:rPr>
        <w:t xml:space="preserve">he </w:t>
      </w:r>
      <w:r w:rsidR="00DE7525" w:rsidRPr="00E63DD5">
        <w:rPr>
          <w:rFonts w:ascii="Source Sans Pro" w:hAnsi="Source Sans Pro" w:cs="Tahoma"/>
          <w:sz w:val="24"/>
          <w:szCs w:val="24"/>
          <w:lang w:val="en-GB"/>
        </w:rPr>
        <w:t>housing a</w:t>
      </w:r>
      <w:r w:rsidR="002979EB" w:rsidRPr="00E63DD5">
        <w:rPr>
          <w:rFonts w:ascii="Source Sans Pro" w:hAnsi="Source Sans Pro" w:cs="Tahoma"/>
          <w:sz w:val="24"/>
          <w:szCs w:val="24"/>
          <w:lang w:val="en-GB"/>
        </w:rPr>
        <w:t xml:space="preserve">uthority </w:t>
      </w:r>
      <w:r w:rsidR="00D96F5E" w:rsidRPr="00E63DD5">
        <w:rPr>
          <w:rFonts w:ascii="Source Sans Pro" w:hAnsi="Source Sans Pro" w:cs="Tahoma"/>
          <w:sz w:val="24"/>
          <w:szCs w:val="24"/>
          <w:lang w:val="en-GB"/>
        </w:rPr>
        <w:t>shall obtain and have regard to a report from an Occupational Therapist</w:t>
      </w:r>
      <w:r w:rsidR="002979EB" w:rsidRPr="00E63DD5">
        <w:rPr>
          <w:rFonts w:ascii="Source Sans Pro" w:hAnsi="Source Sans Pro" w:cs="Tahoma"/>
          <w:sz w:val="24"/>
          <w:szCs w:val="24"/>
          <w:lang w:val="en-GB"/>
        </w:rPr>
        <w:t>/Medical Practi</w:t>
      </w:r>
      <w:r w:rsidR="009476C8" w:rsidRPr="00E63DD5">
        <w:rPr>
          <w:rFonts w:ascii="Source Sans Pro" w:hAnsi="Source Sans Pro" w:cs="Tahoma"/>
          <w:sz w:val="24"/>
          <w:szCs w:val="24"/>
          <w:lang w:val="en-GB"/>
        </w:rPr>
        <w:t>ti</w:t>
      </w:r>
      <w:r w:rsidR="002979EB" w:rsidRPr="00E63DD5">
        <w:rPr>
          <w:rFonts w:ascii="Source Sans Pro" w:hAnsi="Source Sans Pro" w:cs="Tahoma"/>
          <w:sz w:val="24"/>
          <w:szCs w:val="24"/>
          <w:lang w:val="en-GB"/>
        </w:rPr>
        <w:t>oner</w:t>
      </w:r>
      <w:r w:rsidR="00681F9B" w:rsidRPr="00E63DD5">
        <w:rPr>
          <w:rFonts w:ascii="Source Sans Pro" w:hAnsi="Source Sans Pro" w:cs="Tahoma"/>
          <w:sz w:val="24"/>
          <w:szCs w:val="24"/>
          <w:lang w:val="en-GB"/>
        </w:rPr>
        <w:t xml:space="preserve"> </w:t>
      </w:r>
      <w:r w:rsidR="00D96F5E" w:rsidRPr="00E63DD5">
        <w:rPr>
          <w:rFonts w:ascii="Source Sans Pro" w:hAnsi="Source Sans Pro" w:cs="Tahoma"/>
          <w:sz w:val="24"/>
          <w:szCs w:val="24"/>
          <w:lang w:val="en-GB"/>
        </w:rPr>
        <w:t xml:space="preserve">in respect of any specific accommodation requirements. </w:t>
      </w:r>
    </w:p>
    <w:p w14:paraId="2332E893" w14:textId="77777777" w:rsidR="00EF527C" w:rsidRPr="00E63DD5" w:rsidRDefault="00EF527C" w:rsidP="00EF527C">
      <w:pPr>
        <w:pStyle w:val="ListParagraph"/>
        <w:rPr>
          <w:rFonts w:ascii="Source Sans Pro" w:hAnsi="Source Sans Pro" w:cs="Tahoma"/>
          <w:sz w:val="24"/>
          <w:szCs w:val="24"/>
          <w:lang w:val="en-GB"/>
        </w:rPr>
      </w:pPr>
    </w:p>
    <w:p w14:paraId="73110EF0" w14:textId="77777777" w:rsidR="00D0352A" w:rsidRPr="00E63DD5" w:rsidRDefault="009B3117" w:rsidP="00D0352A">
      <w:pPr>
        <w:pStyle w:val="ListParagraph"/>
        <w:numPr>
          <w:ilvl w:val="0"/>
          <w:numId w:val="5"/>
        </w:numPr>
        <w:rPr>
          <w:rFonts w:ascii="Source Sans Pro" w:hAnsi="Source Sans Pro" w:cs="Tahoma"/>
          <w:b/>
          <w:sz w:val="24"/>
          <w:szCs w:val="24"/>
          <w:lang w:val="en-GB"/>
        </w:rPr>
      </w:pPr>
      <w:r w:rsidRPr="00E63DD5">
        <w:rPr>
          <w:rFonts w:ascii="Source Sans Pro" w:hAnsi="Source Sans Pro" w:cs="Tahoma"/>
          <w:b/>
          <w:sz w:val="24"/>
          <w:szCs w:val="24"/>
          <w:lang w:val="en-GB"/>
        </w:rPr>
        <w:t xml:space="preserve">Overcrowding: </w:t>
      </w:r>
      <w:r w:rsidR="00D0352A" w:rsidRPr="00E63DD5">
        <w:rPr>
          <w:rFonts w:ascii="Source Sans Pro" w:hAnsi="Source Sans Pro" w:cs="Tahoma"/>
          <w:sz w:val="24"/>
          <w:szCs w:val="24"/>
          <w:lang w:val="en-GB"/>
        </w:rPr>
        <w:t xml:space="preserve">where the </w:t>
      </w:r>
      <w:r w:rsidR="00F02F64" w:rsidRPr="00E63DD5">
        <w:rPr>
          <w:rFonts w:ascii="Source Sans Pro" w:hAnsi="Source Sans Pro" w:cs="Tahoma"/>
          <w:sz w:val="24"/>
          <w:szCs w:val="24"/>
          <w:lang w:val="en-GB"/>
        </w:rPr>
        <w:t xml:space="preserve">existing accommodation is no longer suitable on the grounds of over-crowding due to an increase in the family composition since the original date of allocation of the property. </w:t>
      </w:r>
    </w:p>
    <w:p w14:paraId="70770E96" w14:textId="77777777" w:rsidR="00382F83" w:rsidRPr="00E63DD5" w:rsidRDefault="00382F83" w:rsidP="00382F83">
      <w:pPr>
        <w:pStyle w:val="ListParagraph"/>
        <w:rPr>
          <w:rFonts w:ascii="Source Sans Pro" w:hAnsi="Source Sans Pro" w:cs="Tahoma"/>
          <w:b/>
          <w:sz w:val="24"/>
          <w:szCs w:val="24"/>
          <w:lang w:val="en-GB"/>
        </w:rPr>
      </w:pPr>
    </w:p>
    <w:p w14:paraId="22778502" w14:textId="77777777" w:rsidR="00CA1761" w:rsidRPr="00E63DD5" w:rsidRDefault="00DE7525" w:rsidP="00CA1761">
      <w:pPr>
        <w:rPr>
          <w:rFonts w:ascii="Source Sans Pro" w:hAnsi="Source Sans Pro" w:cs="Tahoma"/>
          <w:sz w:val="24"/>
          <w:szCs w:val="24"/>
          <w:lang w:val="en-GB"/>
        </w:rPr>
      </w:pPr>
      <w:r w:rsidRPr="00E63DD5">
        <w:rPr>
          <w:rFonts w:ascii="Source Sans Pro" w:hAnsi="Source Sans Pro" w:cs="Tahoma"/>
          <w:sz w:val="24"/>
          <w:szCs w:val="24"/>
          <w:lang w:val="en-GB"/>
        </w:rPr>
        <w:t>The h</w:t>
      </w:r>
      <w:r w:rsidR="00681F9B" w:rsidRPr="00E63DD5">
        <w:rPr>
          <w:rFonts w:ascii="Source Sans Pro" w:hAnsi="Source Sans Pro" w:cs="Tahoma"/>
          <w:sz w:val="24"/>
          <w:szCs w:val="24"/>
          <w:lang w:val="en-GB"/>
        </w:rPr>
        <w:t xml:space="preserve">ousing </w:t>
      </w:r>
      <w:r w:rsidRPr="00E63DD5">
        <w:rPr>
          <w:rFonts w:ascii="Source Sans Pro" w:hAnsi="Source Sans Pro" w:cs="Tahoma"/>
          <w:sz w:val="24"/>
          <w:szCs w:val="24"/>
          <w:lang w:val="en-GB"/>
        </w:rPr>
        <w:t>a</w:t>
      </w:r>
      <w:r w:rsidR="00681F9B" w:rsidRPr="00E63DD5">
        <w:rPr>
          <w:rFonts w:ascii="Source Sans Pro" w:hAnsi="Source Sans Pro" w:cs="Tahoma"/>
          <w:sz w:val="24"/>
          <w:szCs w:val="24"/>
          <w:lang w:val="en-GB"/>
        </w:rPr>
        <w:t xml:space="preserve">uthority </w:t>
      </w:r>
      <w:r w:rsidR="00CA1761" w:rsidRPr="00E63DD5">
        <w:rPr>
          <w:rFonts w:ascii="Source Sans Pro" w:hAnsi="Source Sans Pro" w:cs="Tahoma"/>
          <w:sz w:val="24"/>
          <w:szCs w:val="24"/>
          <w:lang w:val="en-GB"/>
        </w:rPr>
        <w:t>will not consider transferring a tenant because of unsatisfactory relations with a neighbouring tenant or because of dissatisfaction in general with the estate or the neighbourhood</w:t>
      </w:r>
      <w:r w:rsidR="00382F83" w:rsidRPr="00E63DD5">
        <w:rPr>
          <w:rFonts w:ascii="Source Sans Pro" w:hAnsi="Source Sans Pro" w:cs="Tahoma"/>
          <w:sz w:val="24"/>
          <w:szCs w:val="24"/>
          <w:lang w:val="en-GB"/>
        </w:rPr>
        <w:t>.</w:t>
      </w:r>
      <w:r w:rsidR="00CA1761" w:rsidRPr="00E63DD5">
        <w:rPr>
          <w:rFonts w:ascii="Source Sans Pro" w:hAnsi="Source Sans Pro" w:cs="Tahoma"/>
          <w:sz w:val="24"/>
          <w:szCs w:val="24"/>
          <w:lang w:val="en-GB"/>
        </w:rPr>
        <w:t xml:space="preserve"> </w:t>
      </w:r>
    </w:p>
    <w:p w14:paraId="5E366296" w14:textId="77777777" w:rsidR="002979EB" w:rsidRPr="00E63DD5" w:rsidRDefault="002979EB" w:rsidP="002979EB">
      <w:pPr>
        <w:ind w:left="-540"/>
        <w:rPr>
          <w:rFonts w:ascii="Source Sans Pro" w:hAnsi="Source Sans Pro" w:cs="Arial"/>
          <w:sz w:val="24"/>
          <w:szCs w:val="24"/>
          <w:lang w:val="en-GB"/>
        </w:rPr>
      </w:pPr>
    </w:p>
    <w:p w14:paraId="6770EB8F" w14:textId="77777777" w:rsidR="002979EB" w:rsidRPr="00E63DD5" w:rsidRDefault="002979EB" w:rsidP="002979EB">
      <w:pPr>
        <w:rPr>
          <w:rFonts w:ascii="Source Sans Pro" w:hAnsi="Source Sans Pro" w:cs="Tahoma"/>
          <w:sz w:val="24"/>
          <w:szCs w:val="24"/>
          <w:lang w:val="en-GB"/>
        </w:rPr>
      </w:pPr>
      <w:r w:rsidRPr="00E63DD5">
        <w:rPr>
          <w:rFonts w:ascii="Source Sans Pro" w:hAnsi="Source Sans Pro" w:cs="Tahoma"/>
          <w:sz w:val="24"/>
          <w:szCs w:val="24"/>
          <w:lang w:val="en-GB"/>
        </w:rPr>
        <w:t>Notwithstanding the above, tenants seeking a transfer must fulfil the following requirements to the satisfaction of the housing authority –</w:t>
      </w:r>
    </w:p>
    <w:p w14:paraId="7209A955" w14:textId="77777777" w:rsidR="002979EB" w:rsidRPr="00E63DD5" w:rsidRDefault="002979EB" w:rsidP="002979EB">
      <w:pPr>
        <w:rPr>
          <w:rFonts w:ascii="Source Sans Pro" w:hAnsi="Source Sans Pro" w:cs="Tahoma"/>
          <w:b/>
          <w:sz w:val="24"/>
          <w:szCs w:val="24"/>
          <w:lang w:val="en-GB"/>
        </w:rPr>
      </w:pPr>
    </w:p>
    <w:p w14:paraId="77B220A8" w14:textId="77777777" w:rsidR="009B3117" w:rsidRPr="00E63DD5" w:rsidRDefault="009B3117" w:rsidP="000E0D33">
      <w:pPr>
        <w:rPr>
          <w:rFonts w:ascii="Source Sans Pro" w:hAnsi="Source Sans Pro" w:cs="Tahoma"/>
          <w:sz w:val="24"/>
          <w:szCs w:val="24"/>
          <w:lang w:val="en-GB"/>
        </w:rPr>
      </w:pPr>
      <w:r w:rsidRPr="00E63DD5">
        <w:rPr>
          <w:rFonts w:ascii="Source Sans Pro" w:hAnsi="Source Sans Pro" w:cs="Tahoma"/>
          <w:b/>
          <w:sz w:val="24"/>
          <w:szCs w:val="24"/>
          <w:lang w:val="en-GB"/>
        </w:rPr>
        <w:t>The following conditions also apply to the approval of a transfer request</w:t>
      </w:r>
      <w:r w:rsidRPr="00E63DD5">
        <w:rPr>
          <w:rFonts w:ascii="Source Sans Pro" w:hAnsi="Source Sans Pro" w:cs="Tahoma"/>
          <w:sz w:val="24"/>
          <w:szCs w:val="24"/>
          <w:lang w:val="en-GB"/>
        </w:rPr>
        <w:t xml:space="preserve">: </w:t>
      </w:r>
    </w:p>
    <w:p w14:paraId="079BB3C3" w14:textId="77777777" w:rsidR="000E0D33" w:rsidRPr="00E63DD5" w:rsidRDefault="009B3117" w:rsidP="00D0352A">
      <w:pPr>
        <w:pStyle w:val="ListParagraph"/>
        <w:numPr>
          <w:ilvl w:val="0"/>
          <w:numId w:val="21"/>
        </w:numPr>
        <w:rPr>
          <w:rFonts w:ascii="Source Sans Pro" w:hAnsi="Source Sans Pro" w:cs="Tahoma"/>
          <w:b/>
          <w:sz w:val="24"/>
          <w:szCs w:val="24"/>
          <w:lang w:val="en-GB"/>
        </w:rPr>
      </w:pPr>
      <w:r w:rsidRPr="00E63DD5">
        <w:rPr>
          <w:rFonts w:ascii="Source Sans Pro" w:hAnsi="Source Sans Pro" w:cs="Tahoma"/>
          <w:sz w:val="24"/>
          <w:szCs w:val="24"/>
          <w:lang w:val="en-GB"/>
        </w:rPr>
        <w:t xml:space="preserve">Tenants </w:t>
      </w:r>
      <w:r w:rsidR="000E0D33" w:rsidRPr="00E63DD5">
        <w:rPr>
          <w:rFonts w:ascii="Source Sans Pro" w:hAnsi="Source Sans Pro" w:cs="Tahoma"/>
          <w:sz w:val="24"/>
          <w:szCs w:val="24"/>
          <w:lang w:val="en-GB"/>
        </w:rPr>
        <w:t xml:space="preserve">must have a clear rent account with no arrears relating to their existing </w:t>
      </w:r>
      <w:proofErr w:type="gramStart"/>
      <w:r w:rsidR="000E0D33" w:rsidRPr="00E63DD5">
        <w:rPr>
          <w:rFonts w:ascii="Source Sans Pro" w:hAnsi="Source Sans Pro" w:cs="Tahoma"/>
          <w:sz w:val="24"/>
          <w:szCs w:val="24"/>
          <w:lang w:val="en-GB"/>
        </w:rPr>
        <w:t>tenancy</w:t>
      </w:r>
      <w:proofErr w:type="gramEnd"/>
      <w:r w:rsidR="000E0D33" w:rsidRPr="00E63DD5">
        <w:rPr>
          <w:rFonts w:ascii="Source Sans Pro" w:hAnsi="Source Sans Pro" w:cs="Tahoma"/>
          <w:sz w:val="24"/>
          <w:szCs w:val="24"/>
          <w:lang w:val="en-GB"/>
        </w:rPr>
        <w:t xml:space="preserve"> </w:t>
      </w:r>
    </w:p>
    <w:p w14:paraId="7B4BF483" w14:textId="77777777" w:rsidR="000E0D33" w:rsidRPr="00E63DD5" w:rsidRDefault="000E0D33" w:rsidP="00D0352A">
      <w:pPr>
        <w:pStyle w:val="ListParagraph"/>
        <w:numPr>
          <w:ilvl w:val="0"/>
          <w:numId w:val="21"/>
        </w:numPr>
        <w:rPr>
          <w:rFonts w:ascii="Source Sans Pro" w:hAnsi="Source Sans Pro" w:cs="Tahoma"/>
          <w:b/>
          <w:sz w:val="24"/>
          <w:szCs w:val="24"/>
          <w:lang w:val="en-GB"/>
        </w:rPr>
      </w:pPr>
      <w:r w:rsidRPr="00E63DD5">
        <w:rPr>
          <w:rFonts w:ascii="Source Sans Pro" w:hAnsi="Source Sans Pro" w:cs="Tahoma"/>
          <w:sz w:val="24"/>
          <w:szCs w:val="24"/>
          <w:lang w:val="en-GB"/>
        </w:rPr>
        <w:t xml:space="preserve">The tenants must have complied with all the conditions of their letting </w:t>
      </w:r>
      <w:proofErr w:type="gramStart"/>
      <w:r w:rsidRPr="00E63DD5">
        <w:rPr>
          <w:rFonts w:ascii="Source Sans Pro" w:hAnsi="Source Sans Pro" w:cs="Tahoma"/>
          <w:sz w:val="24"/>
          <w:szCs w:val="24"/>
          <w:lang w:val="en-GB"/>
        </w:rPr>
        <w:t>agreement</w:t>
      </w:r>
      <w:proofErr w:type="gramEnd"/>
      <w:r w:rsidRPr="00E63DD5">
        <w:rPr>
          <w:rFonts w:ascii="Source Sans Pro" w:hAnsi="Source Sans Pro" w:cs="Tahoma"/>
          <w:sz w:val="24"/>
          <w:szCs w:val="24"/>
          <w:lang w:val="en-GB"/>
        </w:rPr>
        <w:t xml:space="preserve"> </w:t>
      </w:r>
    </w:p>
    <w:p w14:paraId="2BF03A08" w14:textId="77777777" w:rsidR="000E0D33" w:rsidRPr="00E63DD5" w:rsidRDefault="000E0D33" w:rsidP="00D0352A">
      <w:pPr>
        <w:pStyle w:val="ListParagraph"/>
        <w:numPr>
          <w:ilvl w:val="0"/>
          <w:numId w:val="21"/>
        </w:numPr>
        <w:rPr>
          <w:rFonts w:ascii="Source Sans Pro" w:hAnsi="Source Sans Pro" w:cs="Tahoma"/>
          <w:b/>
          <w:sz w:val="24"/>
          <w:szCs w:val="24"/>
          <w:lang w:val="en-GB"/>
        </w:rPr>
      </w:pPr>
      <w:r w:rsidRPr="00E63DD5">
        <w:rPr>
          <w:rFonts w:ascii="Source Sans Pro" w:hAnsi="Source Sans Pro" w:cs="Tahoma"/>
          <w:sz w:val="24"/>
          <w:szCs w:val="24"/>
          <w:lang w:val="en-GB"/>
        </w:rPr>
        <w:t xml:space="preserve">The tenants must not have engaged in anti-social behaviour for the previous two </w:t>
      </w:r>
      <w:proofErr w:type="gramStart"/>
      <w:r w:rsidRPr="00E63DD5">
        <w:rPr>
          <w:rFonts w:ascii="Source Sans Pro" w:hAnsi="Source Sans Pro" w:cs="Tahoma"/>
          <w:sz w:val="24"/>
          <w:szCs w:val="24"/>
          <w:lang w:val="en-GB"/>
        </w:rPr>
        <w:t>years</w:t>
      </w:r>
      <w:proofErr w:type="gramEnd"/>
      <w:r w:rsidRPr="00E63DD5">
        <w:rPr>
          <w:rFonts w:ascii="Source Sans Pro" w:hAnsi="Source Sans Pro" w:cs="Tahoma"/>
          <w:sz w:val="24"/>
          <w:szCs w:val="24"/>
          <w:lang w:val="en-GB"/>
        </w:rPr>
        <w:t xml:space="preserve"> </w:t>
      </w:r>
    </w:p>
    <w:p w14:paraId="39EF02DF" w14:textId="77777777" w:rsidR="000E0D33" w:rsidRPr="00E63DD5" w:rsidRDefault="000E0D33" w:rsidP="00D0352A">
      <w:pPr>
        <w:pStyle w:val="ListParagraph"/>
        <w:numPr>
          <w:ilvl w:val="0"/>
          <w:numId w:val="21"/>
        </w:numPr>
        <w:rPr>
          <w:rFonts w:ascii="Source Sans Pro" w:hAnsi="Source Sans Pro" w:cs="Tahoma"/>
          <w:b/>
          <w:sz w:val="24"/>
          <w:szCs w:val="24"/>
          <w:lang w:val="en-GB"/>
        </w:rPr>
      </w:pPr>
      <w:r w:rsidRPr="00E63DD5">
        <w:rPr>
          <w:rFonts w:ascii="Source Sans Pro" w:hAnsi="Source Sans Pro" w:cs="Tahoma"/>
          <w:sz w:val="24"/>
          <w:szCs w:val="24"/>
          <w:lang w:val="en-GB"/>
        </w:rPr>
        <w:t>The tenant</w:t>
      </w:r>
      <w:r w:rsidR="00681F9B" w:rsidRPr="00E63DD5">
        <w:rPr>
          <w:rFonts w:ascii="Source Sans Pro" w:hAnsi="Source Sans Pro" w:cs="Tahoma"/>
          <w:sz w:val="24"/>
          <w:szCs w:val="24"/>
          <w:lang w:val="en-GB"/>
        </w:rPr>
        <w:t>s</w:t>
      </w:r>
      <w:r w:rsidRPr="00E63DD5">
        <w:rPr>
          <w:rFonts w:ascii="Source Sans Pro" w:hAnsi="Source Sans Pro" w:cs="Tahoma"/>
          <w:sz w:val="24"/>
          <w:szCs w:val="24"/>
          <w:lang w:val="en-GB"/>
        </w:rPr>
        <w:t xml:space="preserve"> must have resided in their current accommodation for the previous two </w:t>
      </w:r>
      <w:proofErr w:type="gramStart"/>
      <w:r w:rsidRPr="00E63DD5">
        <w:rPr>
          <w:rFonts w:ascii="Source Sans Pro" w:hAnsi="Source Sans Pro" w:cs="Tahoma"/>
          <w:sz w:val="24"/>
          <w:szCs w:val="24"/>
          <w:lang w:val="en-GB"/>
        </w:rPr>
        <w:t>years</w:t>
      </w:r>
      <w:proofErr w:type="gramEnd"/>
      <w:r w:rsidRPr="00E63DD5">
        <w:rPr>
          <w:rFonts w:ascii="Source Sans Pro" w:hAnsi="Source Sans Pro" w:cs="Tahoma"/>
          <w:sz w:val="24"/>
          <w:szCs w:val="24"/>
          <w:lang w:val="en-GB"/>
        </w:rPr>
        <w:t xml:space="preserve"> </w:t>
      </w:r>
    </w:p>
    <w:p w14:paraId="214E072C" w14:textId="77777777" w:rsidR="000E0D33" w:rsidRPr="00E63DD5" w:rsidRDefault="000E0D33" w:rsidP="00D0352A">
      <w:pPr>
        <w:pStyle w:val="ListParagraph"/>
        <w:numPr>
          <w:ilvl w:val="0"/>
          <w:numId w:val="21"/>
        </w:numPr>
        <w:rPr>
          <w:rFonts w:ascii="Source Sans Pro" w:hAnsi="Source Sans Pro" w:cs="Tahoma"/>
          <w:b/>
          <w:sz w:val="24"/>
          <w:szCs w:val="24"/>
          <w:lang w:val="en-GB"/>
        </w:rPr>
      </w:pPr>
      <w:r w:rsidRPr="00E63DD5">
        <w:rPr>
          <w:rFonts w:ascii="Source Sans Pro" w:hAnsi="Source Sans Pro" w:cs="Tahoma"/>
          <w:sz w:val="24"/>
          <w:szCs w:val="24"/>
          <w:lang w:val="en-GB"/>
        </w:rPr>
        <w:lastRenderedPageBreak/>
        <w:t xml:space="preserve">Subject to an inspection of the existing accommodation the property must be in a satisfactory </w:t>
      </w:r>
      <w:proofErr w:type="gramStart"/>
      <w:r w:rsidRPr="00E63DD5">
        <w:rPr>
          <w:rFonts w:ascii="Source Sans Pro" w:hAnsi="Source Sans Pro" w:cs="Tahoma"/>
          <w:sz w:val="24"/>
          <w:szCs w:val="24"/>
          <w:lang w:val="en-GB"/>
        </w:rPr>
        <w:t>condition</w:t>
      </w:r>
      <w:proofErr w:type="gramEnd"/>
      <w:r w:rsidRPr="00E63DD5">
        <w:rPr>
          <w:rFonts w:ascii="Source Sans Pro" w:hAnsi="Source Sans Pro" w:cs="Tahoma"/>
          <w:sz w:val="24"/>
          <w:szCs w:val="24"/>
          <w:lang w:val="en-GB"/>
        </w:rPr>
        <w:t xml:space="preserve"> </w:t>
      </w:r>
    </w:p>
    <w:p w14:paraId="4975D483" w14:textId="77777777" w:rsidR="000E0D33" w:rsidRPr="00E63DD5" w:rsidRDefault="000E0D33" w:rsidP="00D0352A">
      <w:pPr>
        <w:pStyle w:val="ListParagraph"/>
        <w:numPr>
          <w:ilvl w:val="0"/>
          <w:numId w:val="21"/>
        </w:numPr>
        <w:rPr>
          <w:rFonts w:ascii="Source Sans Pro" w:hAnsi="Source Sans Pro" w:cs="Tahoma"/>
          <w:b/>
          <w:sz w:val="24"/>
          <w:szCs w:val="24"/>
          <w:lang w:val="en-GB"/>
        </w:rPr>
      </w:pPr>
      <w:r w:rsidRPr="00E63DD5">
        <w:rPr>
          <w:rFonts w:ascii="Source Sans Pro" w:hAnsi="Source Sans Pro" w:cs="Tahoma"/>
          <w:sz w:val="24"/>
          <w:szCs w:val="24"/>
          <w:lang w:val="en-GB"/>
        </w:rPr>
        <w:t xml:space="preserve">The date of application for a transfer will only be set after all the conditions for a transfer have been met in the opinion of the </w:t>
      </w:r>
      <w:r w:rsidR="00FE2AAC" w:rsidRPr="00E63DD5">
        <w:rPr>
          <w:rFonts w:ascii="Source Sans Pro" w:hAnsi="Source Sans Pro" w:cs="Tahoma"/>
          <w:sz w:val="24"/>
          <w:szCs w:val="24"/>
          <w:lang w:val="en-GB"/>
        </w:rPr>
        <w:t>h</w:t>
      </w:r>
      <w:r w:rsidR="00681F9B" w:rsidRPr="00E63DD5">
        <w:rPr>
          <w:rFonts w:ascii="Source Sans Pro" w:hAnsi="Source Sans Pro" w:cs="Tahoma"/>
          <w:sz w:val="24"/>
          <w:szCs w:val="24"/>
          <w:lang w:val="en-GB"/>
        </w:rPr>
        <w:t xml:space="preserve">ousing </w:t>
      </w:r>
      <w:r w:rsidR="00FE2AAC" w:rsidRPr="00E63DD5">
        <w:rPr>
          <w:rFonts w:ascii="Source Sans Pro" w:hAnsi="Source Sans Pro" w:cs="Tahoma"/>
          <w:sz w:val="24"/>
          <w:szCs w:val="24"/>
          <w:lang w:val="en-GB"/>
        </w:rPr>
        <w:t>a</w:t>
      </w:r>
      <w:r w:rsidR="00681F9B" w:rsidRPr="00E63DD5">
        <w:rPr>
          <w:rFonts w:ascii="Source Sans Pro" w:hAnsi="Source Sans Pro" w:cs="Tahoma"/>
          <w:sz w:val="24"/>
          <w:szCs w:val="24"/>
          <w:lang w:val="en-GB"/>
        </w:rPr>
        <w:t xml:space="preserve">uthority. </w:t>
      </w:r>
    </w:p>
    <w:p w14:paraId="486681E7" w14:textId="77777777" w:rsidR="006C5A91" w:rsidRPr="00E63DD5" w:rsidRDefault="006C5A91" w:rsidP="000E0D33">
      <w:pPr>
        <w:rPr>
          <w:rFonts w:ascii="Source Sans Pro" w:hAnsi="Source Sans Pro" w:cs="Tahoma"/>
          <w:b/>
          <w:color w:val="FF0000"/>
          <w:sz w:val="24"/>
          <w:szCs w:val="24"/>
          <w:lang w:val="en-GB"/>
        </w:rPr>
      </w:pPr>
    </w:p>
    <w:p w14:paraId="1F924C5E" w14:textId="77777777" w:rsidR="000E0D33" w:rsidRPr="00E63DD5" w:rsidRDefault="002979EB" w:rsidP="000E0D33">
      <w:pPr>
        <w:rPr>
          <w:rFonts w:ascii="Source Sans Pro" w:hAnsi="Source Sans Pro" w:cs="Tahoma"/>
          <w:b/>
          <w:sz w:val="24"/>
          <w:szCs w:val="24"/>
          <w:lang w:val="en-GB"/>
        </w:rPr>
      </w:pPr>
      <w:r w:rsidRPr="00E63DD5">
        <w:rPr>
          <w:rFonts w:ascii="Source Sans Pro" w:hAnsi="Source Sans Pro" w:cs="Tahoma"/>
          <w:b/>
          <w:sz w:val="24"/>
          <w:szCs w:val="24"/>
          <w:lang w:val="en-GB"/>
        </w:rPr>
        <w:t>(</w:t>
      </w:r>
      <w:r w:rsidR="0086237D" w:rsidRPr="00E63DD5">
        <w:rPr>
          <w:rFonts w:ascii="Source Sans Pro" w:hAnsi="Source Sans Pro" w:cs="Tahoma"/>
          <w:b/>
          <w:sz w:val="24"/>
          <w:szCs w:val="24"/>
          <w:lang w:val="en-GB"/>
        </w:rPr>
        <w:t>L</w:t>
      </w:r>
      <w:r w:rsidR="00416028" w:rsidRPr="00E63DD5">
        <w:rPr>
          <w:rFonts w:ascii="Source Sans Pro" w:hAnsi="Source Sans Pro" w:cs="Tahoma"/>
          <w:b/>
          <w:sz w:val="24"/>
          <w:szCs w:val="24"/>
          <w:lang w:val="en-GB"/>
        </w:rPr>
        <w:t xml:space="preserve">) </w:t>
      </w:r>
      <w:r w:rsidR="00EF76DC" w:rsidRPr="00E63DD5">
        <w:rPr>
          <w:rFonts w:ascii="Source Sans Pro" w:hAnsi="Source Sans Pro" w:cs="Tahoma"/>
          <w:b/>
          <w:sz w:val="24"/>
          <w:szCs w:val="24"/>
          <w:lang w:val="en-GB"/>
        </w:rPr>
        <w:t>Succession T</w:t>
      </w:r>
      <w:r w:rsidRPr="00E63DD5">
        <w:rPr>
          <w:rFonts w:ascii="Source Sans Pro" w:hAnsi="Source Sans Pro" w:cs="Tahoma"/>
          <w:b/>
          <w:sz w:val="24"/>
          <w:szCs w:val="24"/>
          <w:lang w:val="en-GB"/>
        </w:rPr>
        <w:t xml:space="preserve">enancies </w:t>
      </w:r>
    </w:p>
    <w:p w14:paraId="4A8876A2" w14:textId="77777777" w:rsidR="000E0D33" w:rsidRPr="00E63DD5" w:rsidRDefault="000E0D33" w:rsidP="000E0D33">
      <w:pPr>
        <w:rPr>
          <w:rFonts w:ascii="Source Sans Pro" w:hAnsi="Source Sans Pro" w:cs="Tahoma"/>
          <w:sz w:val="24"/>
          <w:szCs w:val="24"/>
          <w:lang w:val="en-GB"/>
        </w:rPr>
      </w:pPr>
      <w:r w:rsidRPr="00E63DD5">
        <w:rPr>
          <w:rFonts w:ascii="Source Sans Pro" w:hAnsi="Source Sans Pro" w:cs="Tahoma"/>
          <w:sz w:val="24"/>
          <w:szCs w:val="24"/>
          <w:lang w:val="en-GB"/>
        </w:rPr>
        <w:t xml:space="preserve">On the death of a tenant, the tenancy may be transferred to the tenant’s partner/spouse or to a member of the tenant’s immediate family normally resident in the dwelling at the date of the tenant’s death.  In determining </w:t>
      </w:r>
      <w:proofErr w:type="gramStart"/>
      <w:r w:rsidRPr="00E63DD5">
        <w:rPr>
          <w:rFonts w:ascii="Source Sans Pro" w:hAnsi="Source Sans Pro" w:cs="Tahoma"/>
          <w:sz w:val="24"/>
          <w:szCs w:val="24"/>
          <w:lang w:val="en-GB"/>
        </w:rPr>
        <w:t>whether or not</w:t>
      </w:r>
      <w:proofErr w:type="gramEnd"/>
      <w:r w:rsidRPr="00E63DD5">
        <w:rPr>
          <w:rFonts w:ascii="Source Sans Pro" w:hAnsi="Source Sans Pro" w:cs="Tahoma"/>
          <w:sz w:val="24"/>
          <w:szCs w:val="24"/>
          <w:lang w:val="en-GB"/>
        </w:rPr>
        <w:t xml:space="preserve"> the tenant’s immediate family was normally resident in the dwelling on the date</w:t>
      </w:r>
      <w:r w:rsidR="00CA1761" w:rsidRPr="00E63DD5">
        <w:rPr>
          <w:rFonts w:ascii="Source Sans Pro" w:hAnsi="Source Sans Pro" w:cs="Tahoma"/>
          <w:sz w:val="24"/>
          <w:szCs w:val="24"/>
          <w:lang w:val="en-GB"/>
        </w:rPr>
        <w:t xml:space="preserve"> of the tenant’s death, details</w:t>
      </w:r>
      <w:r w:rsidRPr="00E63DD5">
        <w:rPr>
          <w:rFonts w:ascii="Source Sans Pro" w:hAnsi="Source Sans Pro" w:cs="Tahoma"/>
          <w:sz w:val="24"/>
          <w:szCs w:val="24"/>
          <w:lang w:val="en-GB"/>
        </w:rPr>
        <w:t xml:space="preserve"> included on the previous Rent Assessments will be taken into account.  It is a requirement that the details in relation to all persons </w:t>
      </w:r>
      <w:r w:rsidR="00681F9B" w:rsidRPr="00E63DD5">
        <w:rPr>
          <w:rFonts w:ascii="Source Sans Pro" w:hAnsi="Source Sans Pro" w:cs="Tahoma"/>
          <w:sz w:val="24"/>
          <w:szCs w:val="24"/>
          <w:lang w:val="en-GB"/>
        </w:rPr>
        <w:t xml:space="preserve">residing in a housing </w:t>
      </w:r>
      <w:r w:rsidRPr="00E63DD5">
        <w:rPr>
          <w:rFonts w:ascii="Source Sans Pro" w:hAnsi="Source Sans Pro" w:cs="Tahoma"/>
          <w:sz w:val="24"/>
          <w:szCs w:val="24"/>
          <w:lang w:val="en-GB"/>
        </w:rPr>
        <w:t xml:space="preserve">authority property are declared to the authority and that the rent account is re-assessed to reflect the additional member of the household residing in the accommodation. </w:t>
      </w:r>
      <w:r w:rsidR="00681F9B" w:rsidRPr="00E63DD5">
        <w:rPr>
          <w:rFonts w:ascii="Source Sans Pro" w:hAnsi="Source Sans Pro" w:cs="Tahoma"/>
          <w:sz w:val="24"/>
          <w:szCs w:val="24"/>
          <w:lang w:val="en-GB"/>
        </w:rPr>
        <w:t xml:space="preserve">The </w:t>
      </w:r>
      <w:r w:rsidR="00CA1761" w:rsidRPr="00E63DD5">
        <w:rPr>
          <w:rFonts w:ascii="Source Sans Pro" w:hAnsi="Source Sans Pro" w:cs="Tahoma"/>
          <w:sz w:val="24"/>
          <w:szCs w:val="24"/>
          <w:lang w:val="en-GB"/>
        </w:rPr>
        <w:t xml:space="preserve">entitlement </w:t>
      </w:r>
      <w:r w:rsidR="00681F9B" w:rsidRPr="00E63DD5">
        <w:rPr>
          <w:rFonts w:ascii="Source Sans Pro" w:hAnsi="Source Sans Pro" w:cs="Tahoma"/>
          <w:sz w:val="24"/>
          <w:szCs w:val="24"/>
          <w:lang w:val="en-GB"/>
        </w:rPr>
        <w:t xml:space="preserve">to make an application for a succession of tenancy will not apply where the housing authority </w:t>
      </w:r>
      <w:r w:rsidR="00CA1761" w:rsidRPr="00E63DD5">
        <w:rPr>
          <w:rFonts w:ascii="Source Sans Pro" w:hAnsi="Source Sans Pro" w:cs="Tahoma"/>
          <w:sz w:val="24"/>
          <w:szCs w:val="24"/>
          <w:lang w:val="en-GB"/>
        </w:rPr>
        <w:t>is satisfied that the applicant for succession deliberately took up occupancy in the dwelling for the sole purpose of obtaining tenancy i</w:t>
      </w:r>
      <w:r w:rsidR="00681F9B" w:rsidRPr="00E63DD5">
        <w:rPr>
          <w:rFonts w:ascii="Source Sans Pro" w:hAnsi="Source Sans Pro" w:cs="Tahoma"/>
          <w:sz w:val="24"/>
          <w:szCs w:val="24"/>
          <w:lang w:val="en-GB"/>
        </w:rPr>
        <w:t xml:space="preserve">n these circumstances.  The housing authority </w:t>
      </w:r>
      <w:r w:rsidR="00CA1761" w:rsidRPr="00E63DD5">
        <w:rPr>
          <w:rFonts w:ascii="Source Sans Pro" w:hAnsi="Source Sans Pro" w:cs="Tahoma"/>
          <w:sz w:val="24"/>
          <w:szCs w:val="24"/>
          <w:lang w:val="en-GB"/>
        </w:rPr>
        <w:t xml:space="preserve">will make whatever enquiries are necessary to verify any </w:t>
      </w:r>
      <w:proofErr w:type="spellStart"/>
      <w:r w:rsidR="00CA1761" w:rsidRPr="00E63DD5">
        <w:rPr>
          <w:rFonts w:ascii="Source Sans Pro" w:hAnsi="Source Sans Pro" w:cs="Tahoma"/>
          <w:sz w:val="24"/>
          <w:szCs w:val="24"/>
          <w:lang w:val="en-GB"/>
        </w:rPr>
        <w:t>particurlars</w:t>
      </w:r>
      <w:proofErr w:type="spellEnd"/>
      <w:r w:rsidR="00CA1761" w:rsidRPr="00E63DD5">
        <w:rPr>
          <w:rFonts w:ascii="Source Sans Pro" w:hAnsi="Source Sans Pro" w:cs="Tahoma"/>
          <w:sz w:val="24"/>
          <w:szCs w:val="24"/>
          <w:lang w:val="en-GB"/>
        </w:rPr>
        <w:t xml:space="preserve"> furnished in support of an application for succession. </w:t>
      </w:r>
    </w:p>
    <w:p w14:paraId="703BFF70" w14:textId="77777777" w:rsidR="00CA1761" w:rsidRPr="00E63DD5" w:rsidRDefault="00CA1761" w:rsidP="00547CAB">
      <w:pPr>
        <w:rPr>
          <w:rFonts w:ascii="Source Sans Pro" w:hAnsi="Source Sans Pro" w:cs="Tahoma"/>
          <w:b/>
          <w:sz w:val="24"/>
          <w:szCs w:val="24"/>
          <w:lang w:val="en-GB"/>
        </w:rPr>
      </w:pPr>
    </w:p>
    <w:p w14:paraId="48C35CAE" w14:textId="77777777" w:rsidR="00BF65C7" w:rsidRPr="00E63DD5" w:rsidRDefault="00BF65C7" w:rsidP="00C02F79">
      <w:pPr>
        <w:rPr>
          <w:rFonts w:ascii="Source Sans Pro" w:hAnsi="Source Sans Pro" w:cs="Tahoma"/>
          <w:sz w:val="24"/>
          <w:szCs w:val="24"/>
          <w:lang w:val="en-GB"/>
        </w:rPr>
      </w:pPr>
      <w:r w:rsidRPr="00E63DD5">
        <w:rPr>
          <w:rFonts w:ascii="Source Sans Pro" w:hAnsi="Source Sans Pro" w:cs="Tahoma"/>
          <w:sz w:val="24"/>
          <w:szCs w:val="24"/>
          <w:lang w:val="en-GB"/>
        </w:rPr>
        <w:t>Under some circumstances where succession is being considered, the housing authority may require the family member to move to another property if it considers the property to be too large or the property has been designed or adapted for the use of someone with a disability who no longer resides in the property.   No succession to the tenancy will be considered where the property has been designated as an Older Persons Dwelling (and where the person applying for succe</w:t>
      </w:r>
      <w:r w:rsidR="000E1BDF" w:rsidRPr="00E63DD5">
        <w:rPr>
          <w:rFonts w:ascii="Source Sans Pro" w:hAnsi="Source Sans Pro" w:cs="Tahoma"/>
          <w:sz w:val="24"/>
          <w:szCs w:val="24"/>
          <w:lang w:val="en-GB"/>
        </w:rPr>
        <w:t xml:space="preserve">ssion is not an elderly person) save in exceptional circumstances. </w:t>
      </w:r>
    </w:p>
    <w:p w14:paraId="09C755C2" w14:textId="77777777" w:rsidR="000E1BDF" w:rsidRPr="00E63DD5" w:rsidRDefault="000E1BDF" w:rsidP="00C02F79">
      <w:pPr>
        <w:rPr>
          <w:rFonts w:ascii="Source Sans Pro" w:hAnsi="Source Sans Pro" w:cs="Tahoma"/>
          <w:sz w:val="24"/>
          <w:szCs w:val="24"/>
          <w:lang w:val="en-GB"/>
        </w:rPr>
      </w:pPr>
    </w:p>
    <w:p w14:paraId="3F319F16" w14:textId="77777777" w:rsidR="000E1BDF" w:rsidRPr="00E63DD5" w:rsidRDefault="002979EB" w:rsidP="00C02F79">
      <w:pPr>
        <w:rPr>
          <w:rFonts w:ascii="Source Sans Pro" w:hAnsi="Source Sans Pro" w:cs="Tahoma"/>
          <w:b/>
          <w:sz w:val="24"/>
          <w:szCs w:val="24"/>
          <w:lang w:val="en-GB"/>
        </w:rPr>
      </w:pPr>
      <w:r w:rsidRPr="00E63DD5">
        <w:rPr>
          <w:rFonts w:ascii="Source Sans Pro" w:hAnsi="Source Sans Pro" w:cs="Tahoma"/>
          <w:b/>
          <w:sz w:val="24"/>
          <w:szCs w:val="24"/>
          <w:lang w:val="en-GB"/>
        </w:rPr>
        <w:t>(</w:t>
      </w:r>
      <w:r w:rsidR="0086237D" w:rsidRPr="00E63DD5">
        <w:rPr>
          <w:rFonts w:ascii="Source Sans Pro" w:hAnsi="Source Sans Pro" w:cs="Tahoma"/>
          <w:b/>
          <w:sz w:val="24"/>
          <w:szCs w:val="24"/>
          <w:lang w:val="en-GB"/>
        </w:rPr>
        <w:t>M</w:t>
      </w:r>
      <w:r w:rsidR="00416028" w:rsidRPr="00E63DD5">
        <w:rPr>
          <w:rFonts w:ascii="Source Sans Pro" w:hAnsi="Source Sans Pro" w:cs="Tahoma"/>
          <w:b/>
          <w:sz w:val="24"/>
          <w:szCs w:val="24"/>
          <w:lang w:val="en-GB"/>
        </w:rPr>
        <w:t xml:space="preserve">) </w:t>
      </w:r>
      <w:r w:rsidRPr="00E63DD5">
        <w:rPr>
          <w:rFonts w:ascii="Source Sans Pro" w:hAnsi="Source Sans Pro" w:cs="Tahoma"/>
          <w:b/>
          <w:sz w:val="24"/>
          <w:szCs w:val="24"/>
          <w:lang w:val="en-GB"/>
        </w:rPr>
        <w:t>Review</w:t>
      </w:r>
      <w:r w:rsidR="00FE2AAC" w:rsidRPr="00E63DD5">
        <w:rPr>
          <w:rFonts w:ascii="Source Sans Pro" w:hAnsi="Source Sans Pro" w:cs="Tahoma"/>
          <w:b/>
          <w:sz w:val="24"/>
          <w:szCs w:val="24"/>
          <w:lang w:val="en-GB"/>
        </w:rPr>
        <w:t xml:space="preserve"> of /Amendments to</w:t>
      </w:r>
      <w:r w:rsidRPr="00E63DD5">
        <w:rPr>
          <w:rFonts w:ascii="Source Sans Pro" w:hAnsi="Source Sans Pro" w:cs="Tahoma"/>
          <w:b/>
          <w:sz w:val="24"/>
          <w:szCs w:val="24"/>
          <w:lang w:val="en-GB"/>
        </w:rPr>
        <w:t xml:space="preserve"> the Allocation Scheme. </w:t>
      </w:r>
    </w:p>
    <w:p w14:paraId="6DB0DDE4" w14:textId="77777777" w:rsidR="000E1BDF" w:rsidRPr="00E63DD5" w:rsidRDefault="000E1BDF" w:rsidP="00C02F79">
      <w:pPr>
        <w:rPr>
          <w:rFonts w:ascii="Source Sans Pro" w:hAnsi="Source Sans Pro" w:cs="Tahoma"/>
          <w:sz w:val="24"/>
          <w:szCs w:val="24"/>
          <w:lang w:val="en-GB"/>
        </w:rPr>
      </w:pPr>
      <w:r w:rsidRPr="00E63DD5">
        <w:rPr>
          <w:rFonts w:ascii="Source Sans Pro" w:hAnsi="Source Sans Pro" w:cs="Tahoma"/>
          <w:sz w:val="24"/>
          <w:szCs w:val="24"/>
          <w:lang w:val="en-GB"/>
        </w:rPr>
        <w:t xml:space="preserve">Leitrim County Council may from time to time review this allocation </w:t>
      </w:r>
      <w:proofErr w:type="gramStart"/>
      <w:r w:rsidRPr="00E63DD5">
        <w:rPr>
          <w:rFonts w:ascii="Source Sans Pro" w:hAnsi="Source Sans Pro" w:cs="Tahoma"/>
          <w:sz w:val="24"/>
          <w:szCs w:val="24"/>
          <w:lang w:val="en-GB"/>
        </w:rPr>
        <w:t>scheme, and</w:t>
      </w:r>
      <w:proofErr w:type="gramEnd"/>
      <w:r w:rsidRPr="00E63DD5">
        <w:rPr>
          <w:rFonts w:ascii="Source Sans Pro" w:hAnsi="Source Sans Pro" w:cs="Tahoma"/>
          <w:sz w:val="24"/>
          <w:szCs w:val="24"/>
          <w:lang w:val="en-GB"/>
        </w:rPr>
        <w:t xml:space="preserve"> revise it by way of amendments to the scheme or make a new scheme, subjec</w:t>
      </w:r>
      <w:r w:rsidR="00881F3D" w:rsidRPr="00E63DD5">
        <w:rPr>
          <w:rFonts w:ascii="Source Sans Pro" w:hAnsi="Source Sans Pro" w:cs="Tahoma"/>
          <w:sz w:val="24"/>
          <w:szCs w:val="24"/>
          <w:lang w:val="en-GB"/>
        </w:rPr>
        <w:t>t to the approval of the Elected Members of the Council</w:t>
      </w:r>
      <w:r w:rsidRPr="00E63DD5">
        <w:rPr>
          <w:rFonts w:ascii="Source Sans Pro" w:hAnsi="Source Sans Pro" w:cs="Tahoma"/>
          <w:sz w:val="24"/>
          <w:szCs w:val="24"/>
          <w:lang w:val="en-GB"/>
        </w:rPr>
        <w:t xml:space="preserve">. Before making or amending an allocation scheme, the </w:t>
      </w:r>
      <w:r w:rsidR="00FE2AAC" w:rsidRPr="00E63DD5">
        <w:rPr>
          <w:rFonts w:ascii="Source Sans Pro" w:hAnsi="Source Sans Pro" w:cs="Tahoma"/>
          <w:sz w:val="24"/>
          <w:szCs w:val="24"/>
          <w:lang w:val="en-GB"/>
        </w:rPr>
        <w:t xml:space="preserve">Council </w:t>
      </w:r>
      <w:r w:rsidRPr="00E63DD5">
        <w:rPr>
          <w:rFonts w:ascii="Source Sans Pro" w:hAnsi="Source Sans Pro" w:cs="Tahoma"/>
          <w:sz w:val="24"/>
          <w:szCs w:val="24"/>
          <w:lang w:val="en-GB"/>
        </w:rPr>
        <w:t>shall provide a draft of the scheme or amendment to the scheme</w:t>
      </w:r>
      <w:proofErr w:type="gramStart"/>
      <w:r w:rsidRPr="00E63DD5">
        <w:rPr>
          <w:rFonts w:ascii="Source Sans Pro" w:hAnsi="Source Sans Pro" w:cs="Tahoma"/>
          <w:sz w:val="24"/>
          <w:szCs w:val="24"/>
          <w:lang w:val="en-GB"/>
        </w:rPr>
        <w:t>, as the case may be, to</w:t>
      </w:r>
      <w:proofErr w:type="gramEnd"/>
      <w:r w:rsidRPr="00E63DD5">
        <w:rPr>
          <w:rFonts w:ascii="Source Sans Pro" w:hAnsi="Source Sans Pro" w:cs="Tahoma"/>
          <w:sz w:val="24"/>
          <w:szCs w:val="24"/>
          <w:lang w:val="en-GB"/>
        </w:rPr>
        <w:t xml:space="preserve"> the Mini</w:t>
      </w:r>
      <w:r w:rsidR="00881F3D" w:rsidRPr="00E63DD5">
        <w:rPr>
          <w:rFonts w:ascii="Source Sans Pro" w:hAnsi="Source Sans Pro" w:cs="Tahoma"/>
          <w:sz w:val="24"/>
          <w:szCs w:val="24"/>
          <w:lang w:val="en-GB"/>
        </w:rPr>
        <w:t xml:space="preserve">ster, who may direct the </w:t>
      </w:r>
      <w:r w:rsidR="00FE2AAC" w:rsidRPr="00E63DD5">
        <w:rPr>
          <w:rFonts w:ascii="Source Sans Pro" w:hAnsi="Source Sans Pro" w:cs="Tahoma"/>
          <w:sz w:val="24"/>
          <w:szCs w:val="24"/>
          <w:lang w:val="en-GB"/>
        </w:rPr>
        <w:t xml:space="preserve">Council </w:t>
      </w:r>
      <w:r w:rsidRPr="00E63DD5">
        <w:rPr>
          <w:rFonts w:ascii="Source Sans Pro" w:hAnsi="Source Sans Pro" w:cs="Tahoma"/>
          <w:sz w:val="24"/>
          <w:szCs w:val="24"/>
          <w:lang w:val="en-GB"/>
        </w:rPr>
        <w:t xml:space="preserve">to amend the draft scheme or </w:t>
      </w:r>
      <w:r w:rsidR="00881F3D" w:rsidRPr="00E63DD5">
        <w:rPr>
          <w:rFonts w:ascii="Source Sans Pro" w:hAnsi="Source Sans Pro" w:cs="Tahoma"/>
          <w:sz w:val="24"/>
          <w:szCs w:val="24"/>
          <w:lang w:val="en-GB"/>
        </w:rPr>
        <w:t>draft amen</w:t>
      </w:r>
      <w:r w:rsidR="00FE2AAC" w:rsidRPr="00E63DD5">
        <w:rPr>
          <w:rFonts w:ascii="Source Sans Pro" w:hAnsi="Source Sans Pro" w:cs="Tahoma"/>
          <w:sz w:val="24"/>
          <w:szCs w:val="24"/>
          <w:lang w:val="en-GB"/>
        </w:rPr>
        <w:t>dment, and the Council</w:t>
      </w:r>
      <w:r w:rsidR="00881F3D" w:rsidRPr="00E63DD5">
        <w:rPr>
          <w:rFonts w:ascii="Source Sans Pro" w:hAnsi="Source Sans Pro" w:cs="Tahoma"/>
          <w:sz w:val="24"/>
          <w:szCs w:val="24"/>
          <w:lang w:val="en-GB"/>
        </w:rPr>
        <w:t xml:space="preserve"> </w:t>
      </w:r>
      <w:r w:rsidRPr="00E63DD5">
        <w:rPr>
          <w:rFonts w:ascii="Source Sans Pro" w:hAnsi="Source Sans Pro" w:cs="Tahoma"/>
          <w:sz w:val="24"/>
          <w:szCs w:val="24"/>
          <w:lang w:val="en-GB"/>
        </w:rPr>
        <w:t xml:space="preserve">shall comply with any such direction within such period as may be specified by the Minister. </w:t>
      </w:r>
      <w:r w:rsidRPr="00E63DD5">
        <w:rPr>
          <w:rFonts w:ascii="Source Sans Pro" w:hAnsi="Source Sans Pro" w:cs="Tahoma"/>
          <w:sz w:val="24"/>
          <w:szCs w:val="24"/>
        </w:rPr>
        <w:t xml:space="preserve">A copy of the </w:t>
      </w:r>
      <w:r w:rsidR="00FE2AAC" w:rsidRPr="00E63DD5">
        <w:rPr>
          <w:rFonts w:ascii="Source Sans Pro" w:hAnsi="Source Sans Pro" w:cs="Tahoma"/>
          <w:sz w:val="24"/>
          <w:szCs w:val="24"/>
        </w:rPr>
        <w:t xml:space="preserve">Allocation </w:t>
      </w:r>
      <w:r w:rsidRPr="00E63DD5">
        <w:rPr>
          <w:rFonts w:ascii="Source Sans Pro" w:hAnsi="Source Sans Pro" w:cs="Tahoma"/>
          <w:sz w:val="24"/>
          <w:szCs w:val="24"/>
        </w:rPr>
        <w:t>Scheme will be available for public inspecti</w:t>
      </w:r>
      <w:r w:rsidR="00881F3D" w:rsidRPr="00E63DD5">
        <w:rPr>
          <w:rFonts w:ascii="Source Sans Pro" w:hAnsi="Source Sans Pro" w:cs="Tahoma"/>
          <w:sz w:val="24"/>
          <w:szCs w:val="24"/>
        </w:rPr>
        <w:t xml:space="preserve">on at the </w:t>
      </w:r>
      <w:r w:rsidR="00FE2AAC" w:rsidRPr="00E63DD5">
        <w:rPr>
          <w:rFonts w:ascii="Source Sans Pro" w:hAnsi="Source Sans Pro" w:cs="Tahoma"/>
          <w:sz w:val="24"/>
          <w:szCs w:val="24"/>
        </w:rPr>
        <w:t>offices of the housing authority</w:t>
      </w:r>
      <w:r w:rsidR="00881F3D" w:rsidRPr="00E63DD5">
        <w:rPr>
          <w:rFonts w:ascii="Source Sans Pro" w:hAnsi="Source Sans Pro" w:cs="Tahoma"/>
          <w:sz w:val="24"/>
          <w:szCs w:val="24"/>
        </w:rPr>
        <w:t xml:space="preserve"> </w:t>
      </w:r>
      <w:r w:rsidRPr="00E63DD5">
        <w:rPr>
          <w:rFonts w:ascii="Source Sans Pro" w:hAnsi="Source Sans Pro" w:cs="Tahoma"/>
          <w:sz w:val="24"/>
          <w:szCs w:val="24"/>
        </w:rPr>
        <w:t xml:space="preserve">during office hours and will also be available on the website at </w:t>
      </w:r>
      <w:hyperlink r:id="rId9" w:history="1">
        <w:r w:rsidRPr="00E63DD5">
          <w:rPr>
            <w:rStyle w:val="Hyperlink"/>
            <w:rFonts w:ascii="Source Sans Pro" w:hAnsi="Source Sans Pro" w:cs="Tahoma"/>
            <w:sz w:val="24"/>
            <w:szCs w:val="24"/>
          </w:rPr>
          <w:t>www.leitrimcoco.ie</w:t>
        </w:r>
      </w:hyperlink>
      <w:r w:rsidR="002979EB" w:rsidRPr="00E63DD5">
        <w:rPr>
          <w:rFonts w:ascii="Source Sans Pro" w:hAnsi="Source Sans Pro"/>
          <w:sz w:val="24"/>
          <w:szCs w:val="24"/>
        </w:rPr>
        <w:t xml:space="preserve">. </w:t>
      </w:r>
    </w:p>
    <w:p w14:paraId="353D57EF" w14:textId="77777777" w:rsidR="00CA1761" w:rsidRPr="00E63DD5" w:rsidRDefault="00CA1761" w:rsidP="00547CAB">
      <w:pPr>
        <w:rPr>
          <w:rFonts w:ascii="Source Sans Pro" w:hAnsi="Source Sans Pro" w:cs="Tahoma"/>
          <w:b/>
          <w:sz w:val="24"/>
          <w:szCs w:val="24"/>
          <w:lang w:val="en-GB"/>
        </w:rPr>
      </w:pPr>
    </w:p>
    <w:p w14:paraId="0D633914" w14:textId="77777777" w:rsidR="00CA1761" w:rsidRPr="00E63DD5" w:rsidRDefault="00CA1761" w:rsidP="00547CAB">
      <w:pPr>
        <w:rPr>
          <w:rFonts w:ascii="Source Sans Pro" w:hAnsi="Source Sans Pro" w:cs="Tahoma"/>
          <w:b/>
          <w:sz w:val="24"/>
          <w:szCs w:val="24"/>
          <w:lang w:val="en-GB"/>
        </w:rPr>
      </w:pPr>
    </w:p>
    <w:sectPr w:rsidR="00CA1761" w:rsidRPr="00E63DD5" w:rsidSect="00F87F90">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364D" w14:textId="77777777" w:rsidR="0086237D" w:rsidRDefault="0086237D" w:rsidP="00F87F90">
      <w:r>
        <w:separator/>
      </w:r>
    </w:p>
  </w:endnote>
  <w:endnote w:type="continuationSeparator" w:id="0">
    <w:p w14:paraId="3EB8D2AE" w14:textId="77777777" w:rsidR="0086237D" w:rsidRDefault="0086237D" w:rsidP="00F8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7610"/>
      <w:docPartObj>
        <w:docPartGallery w:val="Page Numbers (Bottom of Page)"/>
        <w:docPartUnique/>
      </w:docPartObj>
    </w:sdtPr>
    <w:sdtEndPr/>
    <w:sdtContent>
      <w:p w14:paraId="21ACC6B2" w14:textId="77777777" w:rsidR="0086237D" w:rsidRDefault="00E63DD5">
        <w:pPr>
          <w:pStyle w:val="Footer"/>
        </w:pPr>
        <w:r>
          <w:fldChar w:fldCharType="begin"/>
        </w:r>
        <w:r>
          <w:instrText xml:space="preserve"> PAGE   \* MERGEFORMAT </w:instrText>
        </w:r>
        <w:r>
          <w:fldChar w:fldCharType="separate"/>
        </w:r>
        <w:r w:rsidR="009476C8">
          <w:rPr>
            <w:noProof/>
          </w:rPr>
          <w:t>8</w:t>
        </w:r>
        <w:r>
          <w:rPr>
            <w:noProof/>
          </w:rPr>
          <w:fldChar w:fldCharType="end"/>
        </w:r>
      </w:p>
    </w:sdtContent>
  </w:sdt>
  <w:p w14:paraId="7C4F6032" w14:textId="77777777" w:rsidR="0086237D" w:rsidRDefault="00862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3E7F" w14:textId="77777777" w:rsidR="0086237D" w:rsidRDefault="0086237D" w:rsidP="00F87F90">
      <w:r>
        <w:separator/>
      </w:r>
    </w:p>
  </w:footnote>
  <w:footnote w:type="continuationSeparator" w:id="0">
    <w:p w14:paraId="06D2DBE7" w14:textId="77777777" w:rsidR="0086237D" w:rsidRDefault="0086237D" w:rsidP="00F8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FE9"/>
    <w:multiLevelType w:val="hybridMultilevel"/>
    <w:tmpl w:val="D5C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041BF"/>
    <w:multiLevelType w:val="hybridMultilevel"/>
    <w:tmpl w:val="E204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0F90"/>
    <w:multiLevelType w:val="hybridMultilevel"/>
    <w:tmpl w:val="7F2E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5C57"/>
    <w:multiLevelType w:val="multilevel"/>
    <w:tmpl w:val="C67E68EA"/>
    <w:lvl w:ilvl="0">
      <w:start w:val="1"/>
      <w:numFmt w:val="decimal"/>
      <w:pStyle w:val="Heading1"/>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60003C"/>
    <w:multiLevelType w:val="hybridMultilevel"/>
    <w:tmpl w:val="05088184"/>
    <w:lvl w:ilvl="0" w:tplc="0AD882A8">
      <w:start w:val="1"/>
      <w:numFmt w:val="lowerLetter"/>
      <w:lvlText w:val="(%1)"/>
      <w:lvlJc w:val="left"/>
      <w:pPr>
        <w:ind w:left="3780" w:hanging="360"/>
      </w:pPr>
      <w:rPr>
        <w:rFonts w:cs="Times New Roman" w:hint="default"/>
      </w:rPr>
    </w:lvl>
    <w:lvl w:ilvl="1" w:tplc="18090019" w:tentative="1">
      <w:start w:val="1"/>
      <w:numFmt w:val="lowerLetter"/>
      <w:lvlText w:val="%2."/>
      <w:lvlJc w:val="left"/>
      <w:pPr>
        <w:ind w:left="4500" w:hanging="360"/>
      </w:pPr>
      <w:rPr>
        <w:rFonts w:cs="Times New Roman"/>
      </w:rPr>
    </w:lvl>
    <w:lvl w:ilvl="2" w:tplc="1809001B" w:tentative="1">
      <w:start w:val="1"/>
      <w:numFmt w:val="lowerRoman"/>
      <w:lvlText w:val="%3."/>
      <w:lvlJc w:val="right"/>
      <w:pPr>
        <w:ind w:left="5220" w:hanging="180"/>
      </w:pPr>
      <w:rPr>
        <w:rFonts w:cs="Times New Roman"/>
      </w:rPr>
    </w:lvl>
    <w:lvl w:ilvl="3" w:tplc="1809000F" w:tentative="1">
      <w:start w:val="1"/>
      <w:numFmt w:val="decimal"/>
      <w:lvlText w:val="%4."/>
      <w:lvlJc w:val="left"/>
      <w:pPr>
        <w:ind w:left="5940" w:hanging="360"/>
      </w:pPr>
      <w:rPr>
        <w:rFonts w:cs="Times New Roman"/>
      </w:rPr>
    </w:lvl>
    <w:lvl w:ilvl="4" w:tplc="18090019" w:tentative="1">
      <w:start w:val="1"/>
      <w:numFmt w:val="lowerLetter"/>
      <w:lvlText w:val="%5."/>
      <w:lvlJc w:val="left"/>
      <w:pPr>
        <w:ind w:left="6660" w:hanging="360"/>
      </w:pPr>
      <w:rPr>
        <w:rFonts w:cs="Times New Roman"/>
      </w:rPr>
    </w:lvl>
    <w:lvl w:ilvl="5" w:tplc="1809001B" w:tentative="1">
      <w:start w:val="1"/>
      <w:numFmt w:val="lowerRoman"/>
      <w:lvlText w:val="%6."/>
      <w:lvlJc w:val="right"/>
      <w:pPr>
        <w:ind w:left="7380" w:hanging="180"/>
      </w:pPr>
      <w:rPr>
        <w:rFonts w:cs="Times New Roman"/>
      </w:rPr>
    </w:lvl>
    <w:lvl w:ilvl="6" w:tplc="1809000F" w:tentative="1">
      <w:start w:val="1"/>
      <w:numFmt w:val="decimal"/>
      <w:lvlText w:val="%7."/>
      <w:lvlJc w:val="left"/>
      <w:pPr>
        <w:ind w:left="8100" w:hanging="360"/>
      </w:pPr>
      <w:rPr>
        <w:rFonts w:cs="Times New Roman"/>
      </w:rPr>
    </w:lvl>
    <w:lvl w:ilvl="7" w:tplc="18090019" w:tentative="1">
      <w:start w:val="1"/>
      <w:numFmt w:val="lowerLetter"/>
      <w:lvlText w:val="%8."/>
      <w:lvlJc w:val="left"/>
      <w:pPr>
        <w:ind w:left="8820" w:hanging="360"/>
      </w:pPr>
      <w:rPr>
        <w:rFonts w:cs="Times New Roman"/>
      </w:rPr>
    </w:lvl>
    <w:lvl w:ilvl="8" w:tplc="1809001B" w:tentative="1">
      <w:start w:val="1"/>
      <w:numFmt w:val="lowerRoman"/>
      <w:lvlText w:val="%9."/>
      <w:lvlJc w:val="right"/>
      <w:pPr>
        <w:ind w:left="9540" w:hanging="180"/>
      </w:pPr>
      <w:rPr>
        <w:rFonts w:cs="Times New Roman"/>
      </w:rPr>
    </w:lvl>
  </w:abstractNum>
  <w:abstractNum w:abstractNumId="5" w15:restartNumberingAfterBreak="0">
    <w:nsid w:val="0CF54610"/>
    <w:multiLevelType w:val="hybridMultilevel"/>
    <w:tmpl w:val="0E16D928"/>
    <w:lvl w:ilvl="0" w:tplc="A9C2F1B4">
      <w:start w:val="2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47712"/>
    <w:multiLevelType w:val="hybridMultilevel"/>
    <w:tmpl w:val="E2B25324"/>
    <w:lvl w:ilvl="0" w:tplc="D1E83760">
      <w:start w:val="1"/>
      <w:numFmt w:val="lowerLetter"/>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7" w15:restartNumberingAfterBreak="0">
    <w:nsid w:val="102D4928"/>
    <w:multiLevelType w:val="hybridMultilevel"/>
    <w:tmpl w:val="6FFE0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46F00"/>
    <w:multiLevelType w:val="multilevel"/>
    <w:tmpl w:val="9D58A222"/>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1DDD54B8"/>
    <w:multiLevelType w:val="hybridMultilevel"/>
    <w:tmpl w:val="CCA443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1DE57E64"/>
    <w:multiLevelType w:val="hybridMultilevel"/>
    <w:tmpl w:val="2FDC63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A7484"/>
    <w:multiLevelType w:val="hybridMultilevel"/>
    <w:tmpl w:val="75584C38"/>
    <w:lvl w:ilvl="0" w:tplc="9022CF14">
      <w:start w:val="1"/>
      <w:numFmt w:val="lowerRoman"/>
      <w:lvlText w:val="(%1)"/>
      <w:lvlJc w:val="left"/>
      <w:pPr>
        <w:ind w:left="720" w:hanging="720"/>
      </w:pPr>
      <w:rPr>
        <w:rFonts w:cs="Times New Roman" w:hint="default"/>
        <w:b w:val="0"/>
        <w:sz w:val="20"/>
        <w:szCs w:val="20"/>
      </w:rPr>
    </w:lvl>
    <w:lvl w:ilvl="1" w:tplc="35DC97CA">
      <w:start w:val="3"/>
      <w:numFmt w:val="lowerLetter"/>
      <w:lvlText w:val="%2)"/>
      <w:lvlJc w:val="left"/>
      <w:pPr>
        <w:tabs>
          <w:tab w:val="num" w:pos="2580"/>
        </w:tabs>
        <w:ind w:left="2580" w:hanging="360"/>
      </w:pPr>
      <w:rPr>
        <w:rFonts w:hint="default"/>
      </w:rPr>
    </w:lvl>
    <w:lvl w:ilvl="2" w:tplc="1809001B" w:tentative="1">
      <w:start w:val="1"/>
      <w:numFmt w:val="lowerRoman"/>
      <w:lvlText w:val="%3."/>
      <w:lvlJc w:val="right"/>
      <w:pPr>
        <w:ind w:left="3300" w:hanging="180"/>
      </w:pPr>
      <w:rPr>
        <w:rFonts w:cs="Times New Roman"/>
      </w:rPr>
    </w:lvl>
    <w:lvl w:ilvl="3" w:tplc="1809000F" w:tentative="1">
      <w:start w:val="1"/>
      <w:numFmt w:val="decimal"/>
      <w:lvlText w:val="%4."/>
      <w:lvlJc w:val="left"/>
      <w:pPr>
        <w:ind w:left="4020" w:hanging="360"/>
      </w:pPr>
      <w:rPr>
        <w:rFonts w:cs="Times New Roman"/>
      </w:rPr>
    </w:lvl>
    <w:lvl w:ilvl="4" w:tplc="18090019" w:tentative="1">
      <w:start w:val="1"/>
      <w:numFmt w:val="lowerLetter"/>
      <w:lvlText w:val="%5."/>
      <w:lvlJc w:val="left"/>
      <w:pPr>
        <w:ind w:left="4740" w:hanging="360"/>
      </w:pPr>
      <w:rPr>
        <w:rFonts w:cs="Times New Roman"/>
      </w:rPr>
    </w:lvl>
    <w:lvl w:ilvl="5" w:tplc="1809001B" w:tentative="1">
      <w:start w:val="1"/>
      <w:numFmt w:val="lowerRoman"/>
      <w:lvlText w:val="%6."/>
      <w:lvlJc w:val="right"/>
      <w:pPr>
        <w:ind w:left="5460" w:hanging="180"/>
      </w:pPr>
      <w:rPr>
        <w:rFonts w:cs="Times New Roman"/>
      </w:rPr>
    </w:lvl>
    <w:lvl w:ilvl="6" w:tplc="1809000F" w:tentative="1">
      <w:start w:val="1"/>
      <w:numFmt w:val="decimal"/>
      <w:lvlText w:val="%7."/>
      <w:lvlJc w:val="left"/>
      <w:pPr>
        <w:ind w:left="6180" w:hanging="360"/>
      </w:pPr>
      <w:rPr>
        <w:rFonts w:cs="Times New Roman"/>
      </w:rPr>
    </w:lvl>
    <w:lvl w:ilvl="7" w:tplc="18090019" w:tentative="1">
      <w:start w:val="1"/>
      <w:numFmt w:val="lowerLetter"/>
      <w:lvlText w:val="%8."/>
      <w:lvlJc w:val="left"/>
      <w:pPr>
        <w:ind w:left="6900" w:hanging="360"/>
      </w:pPr>
      <w:rPr>
        <w:rFonts w:cs="Times New Roman"/>
      </w:rPr>
    </w:lvl>
    <w:lvl w:ilvl="8" w:tplc="1809001B" w:tentative="1">
      <w:start w:val="1"/>
      <w:numFmt w:val="lowerRoman"/>
      <w:lvlText w:val="%9."/>
      <w:lvlJc w:val="right"/>
      <w:pPr>
        <w:ind w:left="7620" w:hanging="180"/>
      </w:pPr>
      <w:rPr>
        <w:rFonts w:cs="Times New Roman"/>
      </w:rPr>
    </w:lvl>
  </w:abstractNum>
  <w:abstractNum w:abstractNumId="12" w15:restartNumberingAfterBreak="0">
    <w:nsid w:val="246A33A0"/>
    <w:multiLevelType w:val="hybridMultilevel"/>
    <w:tmpl w:val="916E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D69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6F66E2D"/>
    <w:multiLevelType w:val="hybridMultilevel"/>
    <w:tmpl w:val="205A97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8532E3"/>
    <w:multiLevelType w:val="hybridMultilevel"/>
    <w:tmpl w:val="24005F4E"/>
    <w:lvl w:ilvl="0" w:tplc="28A8253E">
      <w:start w:val="4"/>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D10F9"/>
    <w:multiLevelType w:val="hybridMultilevel"/>
    <w:tmpl w:val="ABB000E4"/>
    <w:lvl w:ilvl="0" w:tplc="58228B98">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23E12"/>
    <w:multiLevelType w:val="hybridMultilevel"/>
    <w:tmpl w:val="A9FA4C12"/>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671263"/>
    <w:multiLevelType w:val="hybridMultilevel"/>
    <w:tmpl w:val="458A32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27764"/>
    <w:multiLevelType w:val="hybridMultilevel"/>
    <w:tmpl w:val="41B8A5C8"/>
    <w:lvl w:ilvl="0" w:tplc="7354C5C2">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0138B"/>
    <w:multiLevelType w:val="hybridMultilevel"/>
    <w:tmpl w:val="FF0628C0"/>
    <w:lvl w:ilvl="0" w:tplc="04090001">
      <w:start w:val="1"/>
      <w:numFmt w:val="bullet"/>
      <w:lvlText w:val=""/>
      <w:lvlJc w:val="left"/>
      <w:pPr>
        <w:ind w:left="1440" w:hanging="360"/>
      </w:pPr>
      <w:rPr>
        <w:rFonts w:ascii="Symbol" w:hAnsi="Symbol" w:hint="default"/>
      </w:rPr>
    </w:lvl>
    <w:lvl w:ilvl="1" w:tplc="18090019">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1" w15:restartNumberingAfterBreak="0">
    <w:nsid w:val="364126FF"/>
    <w:multiLevelType w:val="hybridMultilevel"/>
    <w:tmpl w:val="7EDE9C76"/>
    <w:lvl w:ilvl="0" w:tplc="18090015">
      <w:start w:val="1"/>
      <w:numFmt w:val="upperLetter"/>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74503FF"/>
    <w:multiLevelType w:val="hybridMultilevel"/>
    <w:tmpl w:val="FF7C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8221E"/>
    <w:multiLevelType w:val="hybridMultilevel"/>
    <w:tmpl w:val="0BE6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26D61"/>
    <w:multiLevelType w:val="hybridMultilevel"/>
    <w:tmpl w:val="C5C6BB86"/>
    <w:lvl w:ilvl="0" w:tplc="B9F8F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61BEC"/>
    <w:multiLevelType w:val="hybridMultilevel"/>
    <w:tmpl w:val="C526F130"/>
    <w:lvl w:ilvl="0" w:tplc="96BAC220">
      <w:start w:val="4"/>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62734"/>
    <w:multiLevelType w:val="hybridMultilevel"/>
    <w:tmpl w:val="D5C0A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A6F05"/>
    <w:multiLevelType w:val="hybridMultilevel"/>
    <w:tmpl w:val="77824CDA"/>
    <w:lvl w:ilvl="0" w:tplc="C70CB8FE">
      <w:start w:val="1"/>
      <w:numFmt w:val="lowerRoman"/>
      <w:lvlText w:val="(%1)"/>
      <w:lvlJc w:val="left"/>
      <w:pPr>
        <w:ind w:left="1440" w:hanging="108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863E0"/>
    <w:multiLevelType w:val="hybridMultilevel"/>
    <w:tmpl w:val="84645CE0"/>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B362A5"/>
    <w:multiLevelType w:val="hybridMultilevel"/>
    <w:tmpl w:val="344C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84360"/>
    <w:multiLevelType w:val="hybridMultilevel"/>
    <w:tmpl w:val="D7A6724A"/>
    <w:lvl w:ilvl="0" w:tplc="04090001">
      <w:start w:val="1"/>
      <w:numFmt w:val="bullet"/>
      <w:lvlText w:val=""/>
      <w:lvlJc w:val="left"/>
      <w:pPr>
        <w:tabs>
          <w:tab w:val="num" w:pos="1500"/>
        </w:tabs>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31" w15:restartNumberingAfterBreak="0">
    <w:nsid w:val="4681106E"/>
    <w:multiLevelType w:val="hybridMultilevel"/>
    <w:tmpl w:val="DBC257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46A42"/>
    <w:multiLevelType w:val="hybridMultilevel"/>
    <w:tmpl w:val="5FA233E2"/>
    <w:lvl w:ilvl="0" w:tplc="A9C2F1B4">
      <w:start w:val="2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90DD7"/>
    <w:multiLevelType w:val="hybridMultilevel"/>
    <w:tmpl w:val="6362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C32A33"/>
    <w:multiLevelType w:val="hybridMultilevel"/>
    <w:tmpl w:val="532C3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C724DC"/>
    <w:multiLevelType w:val="multilevel"/>
    <w:tmpl w:val="9D58A2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3831A7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482374F"/>
    <w:multiLevelType w:val="hybridMultilevel"/>
    <w:tmpl w:val="1568A9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2102C1"/>
    <w:multiLevelType w:val="hybridMultilevel"/>
    <w:tmpl w:val="925A1392"/>
    <w:lvl w:ilvl="0" w:tplc="A9C2F1B4">
      <w:start w:val="2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EB1EF9"/>
    <w:multiLevelType w:val="hybridMultilevel"/>
    <w:tmpl w:val="69929888"/>
    <w:lvl w:ilvl="0" w:tplc="B9F8F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7A105F"/>
    <w:multiLevelType w:val="hybridMultilevel"/>
    <w:tmpl w:val="7F96011A"/>
    <w:lvl w:ilvl="0" w:tplc="B9F8F2D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313515"/>
    <w:multiLevelType w:val="hybridMultilevel"/>
    <w:tmpl w:val="54CEED7A"/>
    <w:lvl w:ilvl="0" w:tplc="95766A3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571961"/>
    <w:multiLevelType w:val="hybridMultilevel"/>
    <w:tmpl w:val="6512C3EA"/>
    <w:lvl w:ilvl="0" w:tplc="DA5C83B6">
      <w:start w:val="4"/>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EC5DCB"/>
    <w:multiLevelType w:val="hybridMultilevel"/>
    <w:tmpl w:val="40E6019E"/>
    <w:lvl w:ilvl="0" w:tplc="3A90F3AA">
      <w:start w:val="4"/>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96D3ECA"/>
    <w:multiLevelType w:val="hybridMultilevel"/>
    <w:tmpl w:val="35E29402"/>
    <w:lvl w:ilvl="0" w:tplc="95766A3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A048DC"/>
    <w:multiLevelType w:val="hybridMultilevel"/>
    <w:tmpl w:val="A978E3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AB7546"/>
    <w:multiLevelType w:val="hybridMultilevel"/>
    <w:tmpl w:val="DD06EF50"/>
    <w:lvl w:ilvl="0" w:tplc="3AB214EA">
      <w:start w:val="4"/>
      <w:numFmt w:val="upp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7" w15:restartNumberingAfterBreak="0">
    <w:nsid w:val="73152ADE"/>
    <w:multiLevelType w:val="hybridMultilevel"/>
    <w:tmpl w:val="78746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8DF66FC"/>
    <w:multiLevelType w:val="hybridMultilevel"/>
    <w:tmpl w:val="1FA6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E95AA9"/>
    <w:multiLevelType w:val="hybridMultilevel"/>
    <w:tmpl w:val="B72ECF0A"/>
    <w:lvl w:ilvl="0" w:tplc="B9F8F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944407">
    <w:abstractNumId w:val="37"/>
  </w:num>
  <w:num w:numId="2" w16cid:durableId="1664427686">
    <w:abstractNumId w:val="22"/>
  </w:num>
  <w:num w:numId="3" w16cid:durableId="1529636286">
    <w:abstractNumId w:val="17"/>
  </w:num>
  <w:num w:numId="4" w16cid:durableId="1192453243">
    <w:abstractNumId w:val="29"/>
  </w:num>
  <w:num w:numId="5" w16cid:durableId="1849785116">
    <w:abstractNumId w:val="2"/>
  </w:num>
  <w:num w:numId="6" w16cid:durableId="2134592698">
    <w:abstractNumId w:val="33"/>
  </w:num>
  <w:num w:numId="7" w16cid:durableId="225723787">
    <w:abstractNumId w:val="36"/>
  </w:num>
  <w:num w:numId="8" w16cid:durableId="387147081">
    <w:abstractNumId w:val="13"/>
  </w:num>
  <w:num w:numId="9" w16cid:durableId="807017760">
    <w:abstractNumId w:val="35"/>
  </w:num>
  <w:num w:numId="10" w16cid:durableId="360210407">
    <w:abstractNumId w:val="8"/>
  </w:num>
  <w:num w:numId="11" w16cid:durableId="2043938562">
    <w:abstractNumId w:val="28"/>
  </w:num>
  <w:num w:numId="12" w16cid:durableId="1423600643">
    <w:abstractNumId w:val="1"/>
  </w:num>
  <w:num w:numId="13" w16cid:durableId="1863933629">
    <w:abstractNumId w:val="39"/>
  </w:num>
  <w:num w:numId="14" w16cid:durableId="1922446017">
    <w:abstractNumId w:val="48"/>
  </w:num>
  <w:num w:numId="15" w16cid:durableId="185993785">
    <w:abstractNumId w:val="31"/>
  </w:num>
  <w:num w:numId="16" w16cid:durableId="2106219503">
    <w:abstractNumId w:val="7"/>
  </w:num>
  <w:num w:numId="17" w16cid:durableId="1487208643">
    <w:abstractNumId w:val="45"/>
  </w:num>
  <w:num w:numId="18" w16cid:durableId="511652579">
    <w:abstractNumId w:val="40"/>
  </w:num>
  <w:num w:numId="19" w16cid:durableId="1785608659">
    <w:abstractNumId w:val="49"/>
  </w:num>
  <w:num w:numId="20" w16cid:durableId="1643920270">
    <w:abstractNumId w:val="24"/>
  </w:num>
  <w:num w:numId="21" w16cid:durableId="1737514154">
    <w:abstractNumId w:val="26"/>
  </w:num>
  <w:num w:numId="22" w16cid:durableId="1958872808">
    <w:abstractNumId w:val="18"/>
  </w:num>
  <w:num w:numId="23" w16cid:durableId="55475026">
    <w:abstractNumId w:val="34"/>
  </w:num>
  <w:num w:numId="24" w16cid:durableId="823200055">
    <w:abstractNumId w:val="5"/>
  </w:num>
  <w:num w:numId="25" w16cid:durableId="1646815392">
    <w:abstractNumId w:val="32"/>
  </w:num>
  <w:num w:numId="26" w16cid:durableId="912080634">
    <w:abstractNumId w:val="10"/>
  </w:num>
  <w:num w:numId="27" w16cid:durableId="1597128782">
    <w:abstractNumId w:val="14"/>
  </w:num>
  <w:num w:numId="28" w16cid:durableId="281886309">
    <w:abstractNumId w:val="38"/>
  </w:num>
  <w:num w:numId="29" w16cid:durableId="1801266089">
    <w:abstractNumId w:val="30"/>
  </w:num>
  <w:num w:numId="30" w16cid:durableId="389380567">
    <w:abstractNumId w:val="4"/>
  </w:num>
  <w:num w:numId="31" w16cid:durableId="352416925">
    <w:abstractNumId w:val="11"/>
  </w:num>
  <w:num w:numId="32" w16cid:durableId="1138107294">
    <w:abstractNumId w:val="23"/>
  </w:num>
  <w:num w:numId="33" w16cid:durableId="75329880">
    <w:abstractNumId w:val="44"/>
  </w:num>
  <w:num w:numId="34" w16cid:durableId="1453019608">
    <w:abstractNumId w:val="9"/>
  </w:num>
  <w:num w:numId="35" w16cid:durableId="1628197877">
    <w:abstractNumId w:val="41"/>
  </w:num>
  <w:num w:numId="36" w16cid:durableId="2821334">
    <w:abstractNumId w:val="12"/>
  </w:num>
  <w:num w:numId="37" w16cid:durableId="32773041">
    <w:abstractNumId w:val="42"/>
  </w:num>
  <w:num w:numId="38" w16cid:durableId="1435518239">
    <w:abstractNumId w:val="0"/>
  </w:num>
  <w:num w:numId="39" w16cid:durableId="1132095849">
    <w:abstractNumId w:val="6"/>
  </w:num>
  <w:num w:numId="40" w16cid:durableId="577596358">
    <w:abstractNumId w:val="20"/>
  </w:num>
  <w:num w:numId="41" w16cid:durableId="204493380">
    <w:abstractNumId w:val="16"/>
  </w:num>
  <w:num w:numId="42" w16cid:durableId="938148790">
    <w:abstractNumId w:val="19"/>
  </w:num>
  <w:num w:numId="43" w16cid:durableId="1344892478">
    <w:abstractNumId w:val="21"/>
  </w:num>
  <w:num w:numId="44" w16cid:durableId="14621973">
    <w:abstractNumId w:val="46"/>
  </w:num>
  <w:num w:numId="45" w16cid:durableId="1357728109">
    <w:abstractNumId w:val="43"/>
  </w:num>
  <w:num w:numId="46" w16cid:durableId="628320809">
    <w:abstractNumId w:val="3"/>
  </w:num>
  <w:num w:numId="47" w16cid:durableId="759371964">
    <w:abstractNumId w:val="25"/>
  </w:num>
  <w:num w:numId="48" w16cid:durableId="1807962972">
    <w:abstractNumId w:val="15"/>
  </w:num>
  <w:num w:numId="49" w16cid:durableId="497573097">
    <w:abstractNumId w:val="27"/>
  </w:num>
  <w:num w:numId="50" w16cid:durableId="190683548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19"/>
    <w:rsid w:val="00074810"/>
    <w:rsid w:val="00083522"/>
    <w:rsid w:val="000949DF"/>
    <w:rsid w:val="000A6A0E"/>
    <w:rsid w:val="000C47E1"/>
    <w:rsid w:val="000E0D33"/>
    <w:rsid w:val="000E1BDF"/>
    <w:rsid w:val="000E4CE6"/>
    <w:rsid w:val="0010269E"/>
    <w:rsid w:val="0011487B"/>
    <w:rsid w:val="0012379B"/>
    <w:rsid w:val="0017146A"/>
    <w:rsid w:val="001A7B7D"/>
    <w:rsid w:val="001F4430"/>
    <w:rsid w:val="0020750F"/>
    <w:rsid w:val="0023177B"/>
    <w:rsid w:val="00235E01"/>
    <w:rsid w:val="002368FF"/>
    <w:rsid w:val="0024309B"/>
    <w:rsid w:val="0024339B"/>
    <w:rsid w:val="00243D4C"/>
    <w:rsid w:val="0028172D"/>
    <w:rsid w:val="00285ED8"/>
    <w:rsid w:val="002979EB"/>
    <w:rsid w:val="002B3AB4"/>
    <w:rsid w:val="002C0775"/>
    <w:rsid w:val="002E6D5C"/>
    <w:rsid w:val="00322103"/>
    <w:rsid w:val="00343467"/>
    <w:rsid w:val="0034586E"/>
    <w:rsid w:val="00382F83"/>
    <w:rsid w:val="003B697E"/>
    <w:rsid w:val="003D63C0"/>
    <w:rsid w:val="004049EF"/>
    <w:rsid w:val="0041344C"/>
    <w:rsid w:val="00416028"/>
    <w:rsid w:val="00461549"/>
    <w:rsid w:val="00491A55"/>
    <w:rsid w:val="00495F59"/>
    <w:rsid w:val="00496053"/>
    <w:rsid w:val="004B6034"/>
    <w:rsid w:val="004C61BB"/>
    <w:rsid w:val="004E2566"/>
    <w:rsid w:val="00547AE0"/>
    <w:rsid w:val="00547CAB"/>
    <w:rsid w:val="005674F9"/>
    <w:rsid w:val="00583B35"/>
    <w:rsid w:val="00584FC0"/>
    <w:rsid w:val="005C5EAF"/>
    <w:rsid w:val="005E3F55"/>
    <w:rsid w:val="00615856"/>
    <w:rsid w:val="00665A1C"/>
    <w:rsid w:val="00681F9B"/>
    <w:rsid w:val="006C5A91"/>
    <w:rsid w:val="00730243"/>
    <w:rsid w:val="00773306"/>
    <w:rsid w:val="00790C0C"/>
    <w:rsid w:val="007A2A12"/>
    <w:rsid w:val="007E1E39"/>
    <w:rsid w:val="007F64DD"/>
    <w:rsid w:val="00826F7D"/>
    <w:rsid w:val="0086237D"/>
    <w:rsid w:val="00881F3D"/>
    <w:rsid w:val="008A5716"/>
    <w:rsid w:val="00902DF3"/>
    <w:rsid w:val="00930A42"/>
    <w:rsid w:val="0094417D"/>
    <w:rsid w:val="009476C8"/>
    <w:rsid w:val="009546D9"/>
    <w:rsid w:val="00997188"/>
    <w:rsid w:val="009B3117"/>
    <w:rsid w:val="009B7623"/>
    <w:rsid w:val="009C1A73"/>
    <w:rsid w:val="009D3B6D"/>
    <w:rsid w:val="009D6B36"/>
    <w:rsid w:val="00A11F8C"/>
    <w:rsid w:val="00A35306"/>
    <w:rsid w:val="00A36880"/>
    <w:rsid w:val="00A43311"/>
    <w:rsid w:val="00A440FD"/>
    <w:rsid w:val="00A47819"/>
    <w:rsid w:val="00A963C6"/>
    <w:rsid w:val="00AB4251"/>
    <w:rsid w:val="00AB462E"/>
    <w:rsid w:val="00B06B6B"/>
    <w:rsid w:val="00B576E5"/>
    <w:rsid w:val="00B952D0"/>
    <w:rsid w:val="00B97B67"/>
    <w:rsid w:val="00BA5E21"/>
    <w:rsid w:val="00BC4C54"/>
    <w:rsid w:val="00BD0226"/>
    <w:rsid w:val="00BF65C7"/>
    <w:rsid w:val="00C02F79"/>
    <w:rsid w:val="00C31CB5"/>
    <w:rsid w:val="00C32F8B"/>
    <w:rsid w:val="00C7722C"/>
    <w:rsid w:val="00C92DA1"/>
    <w:rsid w:val="00CA1761"/>
    <w:rsid w:val="00CA7B00"/>
    <w:rsid w:val="00CC0821"/>
    <w:rsid w:val="00CC3D71"/>
    <w:rsid w:val="00D01FCB"/>
    <w:rsid w:val="00D0352A"/>
    <w:rsid w:val="00D07277"/>
    <w:rsid w:val="00D135D3"/>
    <w:rsid w:val="00D1539A"/>
    <w:rsid w:val="00D2282F"/>
    <w:rsid w:val="00D53EAD"/>
    <w:rsid w:val="00D60FE7"/>
    <w:rsid w:val="00D66395"/>
    <w:rsid w:val="00D96F5E"/>
    <w:rsid w:val="00DB5996"/>
    <w:rsid w:val="00DC259E"/>
    <w:rsid w:val="00DD1BF7"/>
    <w:rsid w:val="00DE578D"/>
    <w:rsid w:val="00DE7525"/>
    <w:rsid w:val="00E3332D"/>
    <w:rsid w:val="00E3681E"/>
    <w:rsid w:val="00E50C63"/>
    <w:rsid w:val="00E63DD5"/>
    <w:rsid w:val="00E97878"/>
    <w:rsid w:val="00EB3C50"/>
    <w:rsid w:val="00ED0222"/>
    <w:rsid w:val="00EF527C"/>
    <w:rsid w:val="00EF5787"/>
    <w:rsid w:val="00EF5A8B"/>
    <w:rsid w:val="00EF76DC"/>
    <w:rsid w:val="00F02F64"/>
    <w:rsid w:val="00F10B0E"/>
    <w:rsid w:val="00F277D4"/>
    <w:rsid w:val="00F51BCE"/>
    <w:rsid w:val="00F87F90"/>
    <w:rsid w:val="00FE2AAC"/>
    <w:rsid w:val="00FF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BFE8"/>
  <w15:docId w15:val="{65917B83-9E27-43D9-9C3B-08811111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16"/>
  </w:style>
  <w:style w:type="paragraph" w:styleId="Heading1">
    <w:name w:val="heading 1"/>
    <w:basedOn w:val="Normal"/>
    <w:next w:val="Normal"/>
    <w:link w:val="Heading1Char"/>
    <w:uiPriority w:val="9"/>
    <w:qFormat/>
    <w:rsid w:val="00BC4C54"/>
    <w:pPr>
      <w:numPr>
        <w:numId w:val="46"/>
      </w:numPr>
      <w:spacing w:line="360" w:lineRule="auto"/>
      <w:jc w:val="left"/>
      <w:outlineLvl w:val="0"/>
    </w:pPr>
    <w:rPr>
      <w:rFonts w:ascii="Arial" w:eastAsia="Calibri" w:hAnsi="Arial" w:cs="Arial"/>
      <w:b/>
      <w:color w:val="004990"/>
      <w:sz w:val="4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819"/>
    <w:rPr>
      <w:rFonts w:ascii="Tahoma" w:hAnsi="Tahoma" w:cs="Tahoma"/>
      <w:sz w:val="16"/>
      <w:szCs w:val="16"/>
    </w:rPr>
  </w:style>
  <w:style w:type="character" w:customStyle="1" w:styleId="BalloonTextChar">
    <w:name w:val="Balloon Text Char"/>
    <w:basedOn w:val="DefaultParagraphFont"/>
    <w:link w:val="BalloonText"/>
    <w:uiPriority w:val="99"/>
    <w:semiHidden/>
    <w:rsid w:val="00A47819"/>
    <w:rPr>
      <w:rFonts w:ascii="Tahoma" w:hAnsi="Tahoma" w:cs="Tahoma"/>
      <w:sz w:val="16"/>
      <w:szCs w:val="16"/>
    </w:rPr>
  </w:style>
  <w:style w:type="paragraph" w:styleId="ListParagraph">
    <w:name w:val="List Paragraph"/>
    <w:basedOn w:val="Normal"/>
    <w:qFormat/>
    <w:rsid w:val="00EF76DC"/>
    <w:pPr>
      <w:ind w:left="720"/>
      <w:contextualSpacing/>
    </w:pPr>
  </w:style>
  <w:style w:type="paragraph" w:customStyle="1" w:styleId="Default">
    <w:name w:val="Default"/>
    <w:rsid w:val="000E0D33"/>
    <w:pPr>
      <w:autoSpaceDE w:val="0"/>
      <w:autoSpaceDN w:val="0"/>
      <w:adjustRightInd w:val="0"/>
      <w:jc w:val="left"/>
    </w:pPr>
    <w:rPr>
      <w:rFonts w:ascii="Times New Roman" w:eastAsia="Times New Roman" w:hAnsi="Times New Roman" w:cs="Times New Roman"/>
      <w:color w:val="000000"/>
      <w:sz w:val="24"/>
      <w:szCs w:val="24"/>
      <w:lang w:val="en-GB" w:eastAsia="en-GB"/>
    </w:rPr>
  </w:style>
  <w:style w:type="paragraph" w:styleId="BodyTextIndent2">
    <w:name w:val="Body Text Indent 2"/>
    <w:basedOn w:val="Normal"/>
    <w:link w:val="BodyTextIndent2Char"/>
    <w:rsid w:val="00547CAB"/>
    <w:pPr>
      <w:autoSpaceDE w:val="0"/>
      <w:autoSpaceDN w:val="0"/>
      <w:adjustRightInd w:val="0"/>
      <w:spacing w:line="360" w:lineRule="auto"/>
      <w:ind w:left="720" w:hanging="360"/>
    </w:pPr>
    <w:rPr>
      <w:rFonts w:ascii="Arial" w:eastAsia="Times New Roman" w:hAnsi="Arial" w:cs="Times New Roman"/>
      <w:sz w:val="21"/>
      <w:szCs w:val="20"/>
      <w:lang w:val="en-GB" w:eastAsia="en-GB"/>
    </w:rPr>
  </w:style>
  <w:style w:type="character" w:customStyle="1" w:styleId="BodyTextIndent2Char">
    <w:name w:val="Body Text Indent 2 Char"/>
    <w:basedOn w:val="DefaultParagraphFont"/>
    <w:link w:val="BodyTextIndent2"/>
    <w:rsid w:val="00547CAB"/>
    <w:rPr>
      <w:rFonts w:ascii="Arial" w:eastAsia="Times New Roman" w:hAnsi="Arial" w:cs="Times New Roman"/>
      <w:sz w:val="21"/>
      <w:szCs w:val="20"/>
      <w:lang w:val="en-GB" w:eastAsia="en-GB"/>
    </w:rPr>
  </w:style>
  <w:style w:type="paragraph" w:styleId="Header">
    <w:name w:val="header"/>
    <w:basedOn w:val="Normal"/>
    <w:link w:val="HeaderChar"/>
    <w:uiPriority w:val="99"/>
    <w:semiHidden/>
    <w:unhideWhenUsed/>
    <w:rsid w:val="00F87F90"/>
    <w:pPr>
      <w:tabs>
        <w:tab w:val="center" w:pos="4680"/>
        <w:tab w:val="right" w:pos="9360"/>
      </w:tabs>
    </w:pPr>
  </w:style>
  <w:style w:type="character" w:customStyle="1" w:styleId="HeaderChar">
    <w:name w:val="Header Char"/>
    <w:basedOn w:val="DefaultParagraphFont"/>
    <w:link w:val="Header"/>
    <w:uiPriority w:val="99"/>
    <w:semiHidden/>
    <w:rsid w:val="00F87F90"/>
  </w:style>
  <w:style w:type="paragraph" w:styleId="Footer">
    <w:name w:val="footer"/>
    <w:basedOn w:val="Normal"/>
    <w:link w:val="FooterChar"/>
    <w:uiPriority w:val="99"/>
    <w:unhideWhenUsed/>
    <w:rsid w:val="00F87F90"/>
    <w:pPr>
      <w:tabs>
        <w:tab w:val="center" w:pos="4680"/>
        <w:tab w:val="right" w:pos="9360"/>
      </w:tabs>
    </w:pPr>
  </w:style>
  <w:style w:type="character" w:customStyle="1" w:styleId="FooterChar">
    <w:name w:val="Footer Char"/>
    <w:basedOn w:val="DefaultParagraphFont"/>
    <w:link w:val="Footer"/>
    <w:uiPriority w:val="99"/>
    <w:rsid w:val="00F87F90"/>
  </w:style>
  <w:style w:type="character" w:styleId="Hyperlink">
    <w:name w:val="Hyperlink"/>
    <w:basedOn w:val="DefaultParagraphFont"/>
    <w:rsid w:val="000E1BDF"/>
    <w:rPr>
      <w:color w:val="0000FF"/>
      <w:u w:val="single"/>
    </w:rPr>
  </w:style>
  <w:style w:type="paragraph" w:styleId="BodyText">
    <w:name w:val="Body Text"/>
    <w:basedOn w:val="Normal"/>
    <w:link w:val="BodyTextChar"/>
    <w:uiPriority w:val="99"/>
    <w:unhideWhenUsed/>
    <w:rsid w:val="00322103"/>
    <w:pPr>
      <w:spacing w:after="120"/>
    </w:pPr>
  </w:style>
  <w:style w:type="character" w:customStyle="1" w:styleId="BodyTextChar">
    <w:name w:val="Body Text Char"/>
    <w:basedOn w:val="DefaultParagraphFont"/>
    <w:link w:val="BodyText"/>
    <w:uiPriority w:val="99"/>
    <w:rsid w:val="00322103"/>
  </w:style>
  <w:style w:type="paragraph" w:styleId="BodyTextIndent">
    <w:name w:val="Body Text Indent"/>
    <w:basedOn w:val="Normal"/>
    <w:link w:val="BodyTextIndentChar"/>
    <w:rsid w:val="00322103"/>
    <w:pPr>
      <w:spacing w:after="120"/>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221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C4C54"/>
    <w:rPr>
      <w:rFonts w:ascii="Arial" w:eastAsia="Calibri" w:hAnsi="Arial" w:cs="Arial"/>
      <w:b/>
      <w:color w:val="004990"/>
      <w:sz w:val="4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9E1F-0BAD-4BEB-A99F-BDC3BFE3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Flynn</dc:creator>
  <cp:lastModifiedBy>Carol Philpott</cp:lastModifiedBy>
  <cp:revision>3</cp:revision>
  <cp:lastPrinted>2015-11-09T17:18:00Z</cp:lastPrinted>
  <dcterms:created xsi:type="dcterms:W3CDTF">2024-01-26T10:40:00Z</dcterms:created>
  <dcterms:modified xsi:type="dcterms:W3CDTF">2024-01-26T10:41:00Z</dcterms:modified>
</cp:coreProperties>
</file>